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A3E4AE">
      <w:pPr>
        <w:keepNext w:val="0"/>
        <w:keepLines w:val="0"/>
        <w:widowControl/>
        <w:suppressLineNumbers w:val="0"/>
        <w:jc w:val="center"/>
        <w:rPr>
          <w:rFonts w:hint="eastAsia" w:ascii="仿宋" w:hAnsi="仿宋" w:eastAsia="仿宋" w:cs="仿宋"/>
          <w:b/>
          <w:bCs/>
          <w:kern w:val="0"/>
          <w:sz w:val="36"/>
          <w:szCs w:val="36"/>
          <w:highlight w:val="none"/>
          <w:lang w:val="en-US" w:eastAsia="zh-CN" w:bidi="ar"/>
        </w:rPr>
      </w:pPr>
      <w:r>
        <w:rPr>
          <w:rFonts w:hint="eastAsia" w:ascii="宋体" w:hAnsi="宋体" w:eastAsia="宋体" w:cs="宋体"/>
          <w:b/>
          <w:bCs/>
          <w:kern w:val="0"/>
          <w:sz w:val="36"/>
          <w:szCs w:val="36"/>
          <w:highlight w:val="none"/>
          <w:lang w:val="en-US" w:eastAsia="zh-CN" w:bidi="ar"/>
        </w:rPr>
        <w:t>【业标镇管】</w:t>
      </w:r>
      <w:r>
        <w:rPr>
          <w:rFonts w:hint="eastAsia" w:ascii="仿宋" w:hAnsi="仿宋" w:eastAsia="仿宋" w:cs="仿宋"/>
          <w:b/>
          <w:bCs/>
          <w:kern w:val="0"/>
          <w:sz w:val="36"/>
          <w:szCs w:val="36"/>
          <w:highlight w:val="none"/>
          <w:lang w:val="en-US" w:eastAsia="zh-CN" w:bidi="ar"/>
        </w:rPr>
        <w:t>昆山市张浦镇舜江浅水湾花苑物业管理</w:t>
      </w:r>
    </w:p>
    <w:p w14:paraId="1EB14E5B">
      <w:pPr>
        <w:keepNext w:val="0"/>
        <w:keepLines w:val="0"/>
        <w:widowControl/>
        <w:suppressLineNumbers w:val="0"/>
        <w:jc w:val="center"/>
        <w:rPr>
          <w:rFonts w:hint="default" w:ascii="宋体" w:hAnsi="宋体" w:eastAsia="宋体" w:cs="宋体"/>
          <w:b/>
          <w:bCs/>
          <w:kern w:val="0"/>
          <w:sz w:val="36"/>
          <w:szCs w:val="36"/>
          <w:highlight w:val="none"/>
          <w:lang w:val="en-US" w:eastAsia="zh-CN" w:bidi="ar"/>
        </w:rPr>
      </w:pPr>
      <w:r>
        <w:rPr>
          <w:rFonts w:hint="eastAsia" w:ascii="仿宋" w:hAnsi="仿宋" w:eastAsia="仿宋" w:cs="仿宋"/>
          <w:b/>
          <w:bCs/>
          <w:kern w:val="0"/>
          <w:sz w:val="36"/>
          <w:szCs w:val="36"/>
          <w:highlight w:val="none"/>
          <w:lang w:val="en-US" w:eastAsia="zh-CN" w:bidi="ar"/>
        </w:rPr>
        <w:t>公开招标公告</w:t>
      </w:r>
    </w:p>
    <w:p w14:paraId="4F1803A9">
      <w:pPr>
        <w:keepNext w:val="0"/>
        <w:keepLines w:val="0"/>
        <w:widowControl/>
        <w:suppressLineNumbers w:val="0"/>
        <w:jc w:val="left"/>
        <w:rPr>
          <w:rFonts w:hint="eastAsia" w:ascii="宋体" w:hAnsi="宋体" w:eastAsia="宋体" w:cs="宋体"/>
          <w:b/>
          <w:bCs/>
          <w:kern w:val="0"/>
          <w:sz w:val="24"/>
          <w:szCs w:val="24"/>
          <w:highlight w:val="none"/>
          <w:lang w:val="en-US" w:eastAsia="zh-CN" w:bidi="ar"/>
        </w:rPr>
      </w:pPr>
    </w:p>
    <w:p w14:paraId="438AD20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一、招标项目名称：昆山市张浦镇舜江浅水湾花苑物业管理</w:t>
      </w:r>
    </w:p>
    <w:p w14:paraId="0B84BD9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二、招标项目概况：昆山市张浦镇舜江浅水湾花苑位于昆山市张浦镇京东路399号，总建筑面积为:57269.5平方米。建筑类型为：住宅和商业已全部开发完成。项目总可收费建筑面积为68235.75平方米。</w:t>
      </w:r>
    </w:p>
    <w:p w14:paraId="138BEE0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三、招标单位：昆山市张浦镇舜江浅水湾小区第一届物业管理委员会</w:t>
      </w:r>
    </w:p>
    <w:p w14:paraId="0574697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四、报名时间和地点：</w:t>
      </w:r>
    </w:p>
    <w:p w14:paraId="74CA404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1.时间：2026年10月13日上午 9:00至2026年10月19日下午16:00 前；</w:t>
      </w:r>
    </w:p>
    <w:p w14:paraId="0B19659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2.地点：</w:t>
      </w:r>
      <w:r>
        <w:rPr>
          <w:rFonts w:hint="eastAsia" w:ascii="宋体" w:hAnsi="宋体" w:eastAsia="宋体" w:cs="宋体"/>
          <w:sz w:val="24"/>
          <w:szCs w:val="24"/>
          <w:lang w:eastAsia="zh-CN"/>
        </w:rPr>
        <w:t>昆山市前进西路1468号泰和国际12F</w:t>
      </w:r>
      <w:r>
        <w:rPr>
          <w:rFonts w:hint="eastAsia" w:ascii="宋体" w:hAnsi="宋体" w:eastAsia="宋体" w:cs="宋体"/>
          <w:sz w:val="24"/>
          <w:szCs w:val="24"/>
          <w:lang w:val="en-US" w:eastAsia="zh-CN"/>
        </w:rPr>
        <w:t>。</w:t>
      </w:r>
    </w:p>
    <w:p w14:paraId="517258F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五、招标文件领取地点及费用：</w:t>
      </w:r>
    </w:p>
    <w:p w14:paraId="37CDF6C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1.入围物业企业领取招标文件地点：昆山市前进西路1468号泰和国际12F；</w:t>
      </w:r>
    </w:p>
    <w:p w14:paraId="56AF325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2.现场领取招标文件时，需缴纳500元报名费。</w:t>
      </w:r>
    </w:p>
    <w:p w14:paraId="087EC65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六、投标申请人需具备的条件：</w:t>
      </w:r>
    </w:p>
    <w:p w14:paraId="2134B83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1.物业服务人需依法注册登记，具有独立法人资格，提供有效期的营业执照（副本）复印件，经营范围含物业管理；</w:t>
      </w:r>
    </w:p>
    <w:p w14:paraId="6B6E05B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2.在“信用中国（https://www.creditchina.gov.cn/）”网站专项查询中，未被列入重大税收违法失信主体及失信被执行人名单；被列为昆山市级挂牌督办消防安全重大风险隐患单位且未完成整改销案工作，则不得参与投标；</w:t>
      </w:r>
    </w:p>
    <w:p w14:paraId="257F0E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3.管理实绩要求有：</w:t>
      </w:r>
      <w:r>
        <w:rPr>
          <w:rFonts w:hint="eastAsia" w:ascii="宋体" w:hAnsi="宋体" w:eastAsia="宋体" w:cs="宋体"/>
          <w:sz w:val="24"/>
          <w:szCs w:val="24"/>
          <w:lang w:val="en-US" w:eastAsia="zh-CN"/>
        </w:rPr>
        <w:t>需提供不少于2个苏州大市范围内含</w:t>
      </w:r>
      <w:r>
        <w:rPr>
          <w:rFonts w:hint="eastAsia" w:ascii="宋体" w:hAnsi="宋体" w:eastAsia="宋体" w:cs="宋体"/>
          <w:sz w:val="24"/>
          <w:szCs w:val="24"/>
          <w:lang w:val="zh-CN"/>
        </w:rPr>
        <w:t>高层或多层</w:t>
      </w:r>
      <w:r>
        <w:rPr>
          <w:rFonts w:hint="eastAsia" w:ascii="宋体" w:hAnsi="宋体" w:eastAsia="宋体" w:cs="宋体"/>
          <w:sz w:val="24"/>
          <w:szCs w:val="24"/>
          <w:lang w:val="en-US" w:eastAsia="zh-CN"/>
        </w:rPr>
        <w:t>住宅项目的完整业绩证明，且单个的住宅项目总建筑面积不低于45000平方米（</w:t>
      </w:r>
      <w:r>
        <w:rPr>
          <w:rFonts w:hint="eastAsia" w:ascii="宋体" w:hAnsi="宋体" w:eastAsia="宋体" w:cs="宋体"/>
          <w:sz w:val="24"/>
          <w:szCs w:val="24"/>
          <w:lang w:val="zh-CN" w:eastAsia="zh-CN"/>
        </w:rPr>
        <w:t>转包、发包或让其他公司、个人挂靠管理的</w:t>
      </w:r>
      <w:r>
        <w:rPr>
          <w:rFonts w:hint="eastAsia" w:ascii="宋体" w:hAnsi="宋体" w:eastAsia="宋体" w:cs="宋体"/>
          <w:sz w:val="24"/>
          <w:szCs w:val="24"/>
          <w:lang w:val="en-US" w:eastAsia="zh-CN"/>
        </w:rPr>
        <w:t>均不认可）。</w:t>
      </w:r>
    </w:p>
    <w:p w14:paraId="4D3E2BA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4.</w:t>
      </w:r>
      <w:r>
        <w:rPr>
          <w:rFonts w:hint="eastAsia" w:ascii="宋体" w:hAnsi="宋体" w:eastAsia="宋体" w:cs="宋体"/>
          <w:sz w:val="24"/>
          <w:szCs w:val="24"/>
          <w:lang w:val="zh-CN"/>
        </w:rPr>
        <w:t>近</w:t>
      </w:r>
      <w:r>
        <w:rPr>
          <w:rFonts w:hint="eastAsia" w:ascii="宋体" w:hAnsi="宋体" w:eastAsia="宋体" w:cs="宋体"/>
          <w:sz w:val="24"/>
          <w:szCs w:val="24"/>
          <w:lang w:val="en-US" w:eastAsia="zh-CN"/>
        </w:rPr>
        <w:t>3</w:t>
      </w:r>
      <w:r>
        <w:rPr>
          <w:rFonts w:hint="eastAsia" w:ascii="宋体" w:hAnsi="宋体" w:eastAsia="宋体" w:cs="宋体"/>
          <w:sz w:val="24"/>
          <w:szCs w:val="24"/>
          <w:lang w:val="zh-CN"/>
        </w:rPr>
        <w:t>年（</w:t>
      </w:r>
      <w:r>
        <w:rPr>
          <w:rFonts w:hint="eastAsia" w:ascii="宋体" w:hAnsi="宋体" w:eastAsia="宋体" w:cs="宋体"/>
          <w:sz w:val="24"/>
          <w:szCs w:val="24"/>
          <w:lang w:val="en-US" w:eastAsia="zh-CN"/>
        </w:rPr>
        <w:t>2023年5月至今），昆山市域内在管住宅项目在《昆山市住宅小区物业服务项目“晾晒”考核办法 （试行）》考核中被列为“问题项目”（原“</w:t>
      </w:r>
      <w:r>
        <w:rPr>
          <w:rFonts w:hint="eastAsia" w:ascii="宋体" w:hAnsi="宋体" w:eastAsia="宋体" w:cs="宋体"/>
          <w:sz w:val="24"/>
          <w:szCs w:val="24"/>
          <w:lang w:val="zh-CN"/>
        </w:rPr>
        <w:t>黑榜”）的</w:t>
      </w:r>
      <w:r>
        <w:rPr>
          <w:rFonts w:hint="eastAsia" w:ascii="宋体" w:hAnsi="宋体" w:eastAsia="宋体" w:cs="宋体"/>
          <w:sz w:val="24"/>
          <w:szCs w:val="24"/>
          <w:lang w:val="en-US" w:eastAsia="zh-CN"/>
        </w:rPr>
        <w:t>物业服务企业</w:t>
      </w:r>
      <w:r>
        <w:rPr>
          <w:rFonts w:hint="eastAsia" w:ascii="宋体" w:hAnsi="宋体" w:eastAsia="宋体" w:cs="宋体"/>
          <w:sz w:val="24"/>
          <w:szCs w:val="24"/>
          <w:lang w:val="zh-CN"/>
        </w:rPr>
        <w:t>不得报名参与投标。</w:t>
      </w:r>
    </w:p>
    <w:p w14:paraId="48821CA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5.</w:t>
      </w:r>
      <w:r>
        <w:rPr>
          <w:rFonts w:hint="eastAsia" w:ascii="宋体" w:hAnsi="宋体" w:eastAsia="宋体" w:cs="宋体"/>
          <w:sz w:val="24"/>
          <w:szCs w:val="24"/>
          <w:lang w:val="en-US" w:eastAsia="zh-CN"/>
        </w:rPr>
        <w:t>具</w:t>
      </w:r>
      <w:r>
        <w:rPr>
          <w:rFonts w:hint="eastAsia" w:ascii="宋体" w:hAnsi="宋体" w:eastAsia="宋体" w:cs="宋体"/>
          <w:sz w:val="24"/>
          <w:szCs w:val="24"/>
          <w:lang w:val="zh-CN"/>
        </w:rPr>
        <w:t>有</w:t>
      </w:r>
      <w:r>
        <w:rPr>
          <w:rFonts w:hint="eastAsia" w:ascii="宋体" w:hAnsi="宋体" w:eastAsia="宋体" w:cs="宋体"/>
          <w:sz w:val="24"/>
          <w:szCs w:val="24"/>
          <w:lang w:val="en-US" w:eastAsia="zh-CN"/>
        </w:rPr>
        <w:t>3</w:t>
      </w:r>
      <w:r>
        <w:rPr>
          <w:rFonts w:hint="eastAsia" w:ascii="宋体" w:hAnsi="宋体" w:eastAsia="宋体" w:cs="宋体"/>
          <w:sz w:val="24"/>
          <w:szCs w:val="24"/>
          <w:lang w:val="zh-CN"/>
        </w:rPr>
        <w:t>年以上</w:t>
      </w:r>
      <w:r>
        <w:rPr>
          <w:rFonts w:hint="eastAsia" w:ascii="宋体" w:hAnsi="宋体" w:eastAsia="宋体" w:cs="宋体"/>
          <w:sz w:val="24"/>
          <w:szCs w:val="24"/>
          <w:lang w:val="en-US" w:eastAsia="zh-CN"/>
        </w:rPr>
        <w:t>住宅物业</w:t>
      </w:r>
      <w:r>
        <w:rPr>
          <w:rFonts w:hint="eastAsia" w:ascii="宋体" w:hAnsi="宋体" w:eastAsia="宋体" w:cs="宋体"/>
          <w:sz w:val="24"/>
          <w:szCs w:val="24"/>
          <w:lang w:val="zh-CN"/>
        </w:rPr>
        <w:t>管理经验；需配备具有国家承认的</w:t>
      </w:r>
      <w:r>
        <w:rPr>
          <w:rFonts w:hint="eastAsia" w:ascii="宋体" w:hAnsi="宋体" w:eastAsia="宋体" w:cs="宋体"/>
          <w:sz w:val="24"/>
          <w:szCs w:val="24"/>
          <w:lang w:val="zh-CN" w:eastAsia="zh-CN"/>
        </w:rPr>
        <w:t>大专</w:t>
      </w:r>
      <w:r>
        <w:rPr>
          <w:rFonts w:hint="eastAsia" w:ascii="宋体" w:hAnsi="宋体" w:eastAsia="宋体" w:cs="宋体"/>
          <w:sz w:val="24"/>
          <w:szCs w:val="24"/>
          <w:lang w:val="zh-CN"/>
        </w:rPr>
        <w:t>及以上学历；持</w:t>
      </w:r>
      <w:r>
        <w:rPr>
          <w:rFonts w:hint="eastAsia" w:ascii="宋体" w:hAnsi="宋体" w:eastAsia="宋体" w:cs="宋体"/>
          <w:sz w:val="24"/>
          <w:szCs w:val="24"/>
          <w:lang w:val="en-US" w:eastAsia="zh-CN"/>
        </w:rPr>
        <w:t>有</w:t>
      </w:r>
      <w:r>
        <w:rPr>
          <w:rFonts w:hint="eastAsia" w:ascii="宋体" w:hAnsi="宋体" w:eastAsia="宋体" w:cs="宋体"/>
          <w:sz w:val="24"/>
          <w:szCs w:val="24"/>
          <w:lang w:val="zh-CN"/>
        </w:rPr>
        <w:t>项目经理证书；年龄</w:t>
      </w:r>
      <w:r>
        <w:rPr>
          <w:rFonts w:hint="eastAsia" w:ascii="宋体" w:hAnsi="宋体" w:eastAsia="宋体" w:cs="宋体"/>
          <w:sz w:val="24"/>
          <w:szCs w:val="24"/>
          <w:lang w:val="en-US" w:eastAsia="zh-CN"/>
        </w:rPr>
        <w:t>30</w:t>
      </w:r>
      <w:r>
        <w:rPr>
          <w:rFonts w:hint="eastAsia" w:ascii="宋体" w:hAnsi="宋体" w:eastAsia="宋体" w:cs="宋体"/>
          <w:sz w:val="24"/>
          <w:szCs w:val="24"/>
          <w:lang w:val="zh-CN"/>
        </w:rPr>
        <w:t>周岁至</w:t>
      </w:r>
      <w:r>
        <w:rPr>
          <w:rFonts w:hint="eastAsia" w:ascii="宋体" w:hAnsi="宋体" w:eastAsia="宋体" w:cs="宋体"/>
          <w:sz w:val="24"/>
          <w:szCs w:val="24"/>
          <w:lang w:val="en-US" w:eastAsia="zh-CN"/>
        </w:rPr>
        <w:t>50</w:t>
      </w:r>
      <w:r>
        <w:rPr>
          <w:rFonts w:hint="eastAsia" w:ascii="宋体" w:hAnsi="宋体" w:eastAsia="宋体" w:cs="宋体"/>
          <w:sz w:val="24"/>
          <w:szCs w:val="24"/>
          <w:lang w:val="zh-CN"/>
        </w:rPr>
        <w:t>周岁，且当前无在</w:t>
      </w:r>
      <w:r>
        <w:rPr>
          <w:rFonts w:hint="eastAsia" w:ascii="宋体" w:hAnsi="宋体" w:eastAsia="宋体" w:cs="宋体"/>
          <w:sz w:val="24"/>
          <w:szCs w:val="24"/>
          <w:lang w:val="en-US" w:eastAsia="zh-CN"/>
        </w:rPr>
        <w:t>管</w:t>
      </w:r>
      <w:r>
        <w:rPr>
          <w:rFonts w:hint="eastAsia" w:ascii="宋体" w:hAnsi="宋体" w:eastAsia="宋体" w:cs="宋体"/>
          <w:sz w:val="24"/>
          <w:szCs w:val="24"/>
          <w:lang w:val="zh-CN"/>
        </w:rPr>
        <w:t>项目冲突。</w:t>
      </w:r>
    </w:p>
    <w:p w14:paraId="79D9DDF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投标人可以单独投标，也可以组成联合体投标。单独投标人应具有独立法人资格，持有有效营业执照，注册地位于苏州大市行政区域内。采用联合体投标的，联合体组成仅限于母公司与其全资子公司之间组成，不接受其他形式的联合体。且联合体牵头人须为在昆山市注册并具有独立法人资格的企业，其母公司应直接持有联合体牵头人100%股权。联合体牵头人可共享母公司的业绩、荣誉及信用评定。本条所称母公司与全资子公司，是指母公司直接持有子公司100%股权的独立法人企业，不包括分公司、控股子公司、参股公司及其他关联企业。企业信用信息公示系统中无违法记录，提供有效期内的营业执照副本复印件（须载明"物业管理"经营范围）。</w:t>
      </w:r>
    </w:p>
    <w:p w14:paraId="5227A90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七、选聘物业服务人服务标准、内容：</w:t>
      </w:r>
    </w:p>
    <w:p w14:paraId="425C7A6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1</w:t>
      </w:r>
      <w:r>
        <w:rPr>
          <w:rFonts w:hint="eastAsia" w:ascii="宋体" w:hAnsi="宋体" w:eastAsia="宋体" w:cs="宋体"/>
          <w:sz w:val="24"/>
          <w:szCs w:val="24"/>
          <w:lang w:val="en-US" w:eastAsia="zh-CN"/>
        </w:rPr>
        <w:t>.舜江浅水湾花苑</w:t>
      </w:r>
      <w:r>
        <w:rPr>
          <w:rFonts w:hint="eastAsia" w:ascii="宋体" w:hAnsi="宋体" w:eastAsia="宋体" w:cs="宋体"/>
          <w:sz w:val="24"/>
          <w:szCs w:val="24"/>
          <w:lang w:val="zh-CN" w:eastAsia="zh-CN"/>
        </w:rPr>
        <w:t>物业管理服务内容、标准参照《昆山市普通住宅物业公共服务分类分项分级标准及政府指导价标准》（昆发改〔2020〕64号）执行，等级标准示范如下：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0"/>
        <w:gridCol w:w="1034"/>
        <w:gridCol w:w="1965"/>
        <w:gridCol w:w="1089"/>
        <w:gridCol w:w="1333"/>
        <w:gridCol w:w="1318"/>
      </w:tblGrid>
      <w:tr w14:paraId="38C96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480" w:type="dxa"/>
            <w:vMerge w:val="restart"/>
            <w:noWrap w:val="0"/>
            <w:vAlign w:val="center"/>
          </w:tcPr>
          <w:p w14:paraId="667DEE8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业态</w:t>
            </w:r>
          </w:p>
        </w:tc>
        <w:tc>
          <w:tcPr>
            <w:tcW w:w="6739" w:type="dxa"/>
            <w:gridSpan w:val="5"/>
            <w:noWrap w:val="0"/>
            <w:vAlign w:val="center"/>
          </w:tcPr>
          <w:p w14:paraId="47B42ED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服务内容</w:t>
            </w:r>
          </w:p>
        </w:tc>
      </w:tr>
      <w:tr w14:paraId="394D6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480" w:type="dxa"/>
            <w:vMerge w:val="continue"/>
            <w:noWrap w:val="0"/>
            <w:vAlign w:val="center"/>
          </w:tcPr>
          <w:p w14:paraId="6CA6090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p>
        </w:tc>
        <w:tc>
          <w:tcPr>
            <w:tcW w:w="1034" w:type="dxa"/>
            <w:noWrap w:val="0"/>
            <w:vAlign w:val="center"/>
          </w:tcPr>
          <w:p w14:paraId="5DBD9B9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综合服务</w:t>
            </w:r>
          </w:p>
        </w:tc>
        <w:tc>
          <w:tcPr>
            <w:tcW w:w="1965" w:type="dxa"/>
            <w:noWrap w:val="0"/>
            <w:vAlign w:val="center"/>
          </w:tcPr>
          <w:p w14:paraId="41A9CFD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共用部位共用设施设备维护</w:t>
            </w:r>
          </w:p>
        </w:tc>
        <w:tc>
          <w:tcPr>
            <w:tcW w:w="1089" w:type="dxa"/>
            <w:noWrap w:val="0"/>
            <w:vAlign w:val="center"/>
          </w:tcPr>
          <w:p w14:paraId="0A55B95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公共秩序维护</w:t>
            </w:r>
          </w:p>
        </w:tc>
        <w:tc>
          <w:tcPr>
            <w:tcW w:w="1333" w:type="dxa"/>
            <w:noWrap w:val="0"/>
            <w:vAlign w:val="center"/>
          </w:tcPr>
          <w:p w14:paraId="6B76AA1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保洁服务</w:t>
            </w:r>
          </w:p>
        </w:tc>
        <w:tc>
          <w:tcPr>
            <w:tcW w:w="1318" w:type="dxa"/>
            <w:noWrap w:val="0"/>
            <w:vAlign w:val="center"/>
          </w:tcPr>
          <w:p w14:paraId="28F637B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绿化养护服务</w:t>
            </w:r>
          </w:p>
        </w:tc>
      </w:tr>
      <w:tr w14:paraId="41405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480" w:type="dxa"/>
            <w:noWrap w:val="0"/>
            <w:vAlign w:val="center"/>
          </w:tcPr>
          <w:p w14:paraId="68547D8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多层住宅</w:t>
            </w:r>
          </w:p>
        </w:tc>
        <w:tc>
          <w:tcPr>
            <w:tcW w:w="1034" w:type="dxa"/>
            <w:noWrap w:val="0"/>
            <w:vAlign w:val="center"/>
          </w:tcPr>
          <w:p w14:paraId="12A3852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c>
          <w:tcPr>
            <w:tcW w:w="1965" w:type="dxa"/>
            <w:noWrap w:val="0"/>
            <w:vAlign w:val="center"/>
          </w:tcPr>
          <w:p w14:paraId="031C697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c>
          <w:tcPr>
            <w:tcW w:w="1089" w:type="dxa"/>
            <w:noWrap w:val="0"/>
            <w:vAlign w:val="center"/>
          </w:tcPr>
          <w:p w14:paraId="24048E9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c>
          <w:tcPr>
            <w:tcW w:w="1333" w:type="dxa"/>
            <w:noWrap w:val="0"/>
            <w:vAlign w:val="center"/>
          </w:tcPr>
          <w:p w14:paraId="1279B02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c>
          <w:tcPr>
            <w:tcW w:w="1318" w:type="dxa"/>
            <w:noWrap w:val="0"/>
            <w:vAlign w:val="center"/>
          </w:tcPr>
          <w:p w14:paraId="28F9BDA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r>
      <w:tr w14:paraId="5803C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480" w:type="dxa"/>
            <w:noWrap w:val="0"/>
            <w:vAlign w:val="center"/>
          </w:tcPr>
          <w:p w14:paraId="4399621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小高层住宅</w:t>
            </w:r>
          </w:p>
        </w:tc>
        <w:tc>
          <w:tcPr>
            <w:tcW w:w="1034" w:type="dxa"/>
            <w:noWrap w:val="0"/>
            <w:vAlign w:val="center"/>
          </w:tcPr>
          <w:p w14:paraId="1650523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c>
          <w:tcPr>
            <w:tcW w:w="1965" w:type="dxa"/>
            <w:noWrap w:val="0"/>
            <w:vAlign w:val="center"/>
          </w:tcPr>
          <w:p w14:paraId="54915D1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c>
          <w:tcPr>
            <w:tcW w:w="1089" w:type="dxa"/>
            <w:noWrap w:val="0"/>
            <w:vAlign w:val="center"/>
          </w:tcPr>
          <w:p w14:paraId="57EBE3E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c>
          <w:tcPr>
            <w:tcW w:w="1333" w:type="dxa"/>
            <w:noWrap w:val="0"/>
            <w:vAlign w:val="center"/>
          </w:tcPr>
          <w:p w14:paraId="4530F7C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c>
          <w:tcPr>
            <w:tcW w:w="1318" w:type="dxa"/>
            <w:noWrap w:val="0"/>
            <w:vAlign w:val="center"/>
          </w:tcPr>
          <w:p w14:paraId="75E1FC1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r>
      <w:tr w14:paraId="7D145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480" w:type="dxa"/>
            <w:noWrap w:val="0"/>
            <w:vAlign w:val="center"/>
          </w:tcPr>
          <w:p w14:paraId="0CC16D1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商业</w:t>
            </w:r>
          </w:p>
        </w:tc>
        <w:tc>
          <w:tcPr>
            <w:tcW w:w="1034" w:type="dxa"/>
            <w:noWrap w:val="0"/>
            <w:vAlign w:val="center"/>
          </w:tcPr>
          <w:p w14:paraId="0415E67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c>
          <w:tcPr>
            <w:tcW w:w="1965" w:type="dxa"/>
            <w:noWrap w:val="0"/>
            <w:vAlign w:val="center"/>
          </w:tcPr>
          <w:p w14:paraId="0E6D631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c>
          <w:tcPr>
            <w:tcW w:w="1089" w:type="dxa"/>
            <w:noWrap w:val="0"/>
            <w:vAlign w:val="center"/>
          </w:tcPr>
          <w:p w14:paraId="0E60833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c>
          <w:tcPr>
            <w:tcW w:w="1333" w:type="dxa"/>
            <w:noWrap w:val="0"/>
            <w:vAlign w:val="center"/>
          </w:tcPr>
          <w:p w14:paraId="16B765C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c>
          <w:tcPr>
            <w:tcW w:w="1318" w:type="dxa"/>
            <w:noWrap w:val="0"/>
            <w:vAlign w:val="center"/>
          </w:tcPr>
          <w:p w14:paraId="4F99522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三级</w:t>
            </w:r>
          </w:p>
        </w:tc>
      </w:tr>
    </w:tbl>
    <w:p w14:paraId="2420C0B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p>
    <w:p w14:paraId="5E25043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2.物业服务收费标准：</w:t>
      </w:r>
    </w:p>
    <w:tbl>
      <w:tblPr>
        <w:tblStyle w:val="6"/>
        <w:tblW w:w="89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8"/>
        <w:gridCol w:w="7345"/>
      </w:tblGrid>
      <w:tr w14:paraId="02DD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28" w:type="dxa"/>
            <w:vAlign w:val="center"/>
          </w:tcPr>
          <w:p w14:paraId="45FCBB8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业态</w:t>
            </w:r>
          </w:p>
        </w:tc>
        <w:tc>
          <w:tcPr>
            <w:tcW w:w="7345" w:type="dxa"/>
            <w:vAlign w:val="center"/>
          </w:tcPr>
          <w:p w14:paraId="060DA57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物业服务收费标准（元/月</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平方米）含代收代交</w:t>
            </w:r>
          </w:p>
        </w:tc>
      </w:tr>
      <w:tr w14:paraId="0842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1628" w:type="dxa"/>
            <w:vAlign w:val="center"/>
          </w:tcPr>
          <w:p w14:paraId="77DD4BE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多层住宅</w:t>
            </w:r>
          </w:p>
        </w:tc>
        <w:tc>
          <w:tcPr>
            <w:tcW w:w="7345" w:type="dxa"/>
            <w:vAlign w:val="center"/>
          </w:tcPr>
          <w:p w14:paraId="22396DF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0.8元/月</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平方米</w:t>
            </w:r>
          </w:p>
        </w:tc>
      </w:tr>
      <w:tr w14:paraId="17BC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1628" w:type="dxa"/>
            <w:vAlign w:val="center"/>
          </w:tcPr>
          <w:p w14:paraId="3ECA5DC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小高层住宅</w:t>
            </w:r>
          </w:p>
        </w:tc>
        <w:tc>
          <w:tcPr>
            <w:tcW w:w="7345" w:type="dxa"/>
            <w:vAlign w:val="center"/>
          </w:tcPr>
          <w:p w14:paraId="54E182F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1.5元/月</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平方米</w:t>
            </w:r>
          </w:p>
        </w:tc>
      </w:tr>
    </w:tbl>
    <w:p w14:paraId="46518B5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p>
    <w:tbl>
      <w:tblPr>
        <w:tblStyle w:val="6"/>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3"/>
        <w:gridCol w:w="4020"/>
        <w:gridCol w:w="3334"/>
      </w:tblGrid>
      <w:tr w14:paraId="66634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9" w:hRule="atLeast"/>
          <w:jc w:val="center"/>
        </w:trPr>
        <w:tc>
          <w:tcPr>
            <w:tcW w:w="1583" w:type="dxa"/>
            <w:vAlign w:val="center"/>
          </w:tcPr>
          <w:p w14:paraId="27D055A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业态</w:t>
            </w:r>
          </w:p>
        </w:tc>
        <w:tc>
          <w:tcPr>
            <w:tcW w:w="4020" w:type="dxa"/>
            <w:vAlign w:val="center"/>
          </w:tcPr>
          <w:p w14:paraId="06E2E1B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物业服务收费标准（元/月</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平方米）</w:t>
            </w:r>
          </w:p>
        </w:tc>
        <w:tc>
          <w:tcPr>
            <w:tcW w:w="3334" w:type="dxa"/>
            <w:vAlign w:val="center"/>
          </w:tcPr>
          <w:p w14:paraId="61B31BD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代收代交</w:t>
            </w:r>
          </w:p>
        </w:tc>
      </w:tr>
      <w:tr w14:paraId="595BA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583" w:type="dxa"/>
            <w:vAlign w:val="center"/>
          </w:tcPr>
          <w:p w14:paraId="5F5423F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商业</w:t>
            </w:r>
          </w:p>
        </w:tc>
        <w:tc>
          <w:tcPr>
            <w:tcW w:w="4020" w:type="dxa"/>
            <w:vAlign w:val="center"/>
          </w:tcPr>
          <w:p w14:paraId="11AAE39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2.5元/月</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平方米</w:t>
            </w:r>
          </w:p>
        </w:tc>
        <w:tc>
          <w:tcPr>
            <w:tcW w:w="3334" w:type="dxa"/>
            <w:vAlign w:val="center"/>
          </w:tcPr>
          <w:p w14:paraId="5FC965C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按照水表、电表的实耗读数为准</w:t>
            </w:r>
          </w:p>
        </w:tc>
      </w:tr>
    </w:tbl>
    <w:p w14:paraId="3948AD8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p>
    <w:p w14:paraId="4A6B5A1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3.产权车库水电费，通过物业服务企业依据供水、供电单位的缴费通知单先行代付。按照分户计量表具（水表、电表）的实耗读数向业主结算。</w:t>
      </w:r>
    </w:p>
    <w:p w14:paraId="66C0825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val="zh-CN" w:eastAsia="zh-CN"/>
        </w:rPr>
        <w:t>停车费: 本小区汽车停车费具体收费标准如下：</w:t>
      </w:r>
    </w:p>
    <w:p w14:paraId="037D694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与原物业合同收费标准一致：</w:t>
      </w:r>
    </w:p>
    <w:p w14:paraId="65E1088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停车场(库)的使用人按下列约定向乙方交纳车位使用管理费:</w:t>
      </w:r>
    </w:p>
    <w:p w14:paraId="1EA6018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（1）非本小区临停车：30分钟内免费；停放30分钟至1小时收费2元；超过1小时后，24小时内统一收费5元。连续停放跨天的，每满24小时加收5元，不满24小时按前述标准执行（相关费用纳入公共收益）。</w:t>
      </w:r>
    </w:p>
    <w:p w14:paraId="60BF827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（2）26幢西北侧圆形商业广场的停车费按照临停车辆标准收取相关费用（相关费用纳入公共收益）。</w:t>
      </w:r>
    </w:p>
    <w:p w14:paraId="6E04209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（3）在物业管理公司划定的停车泊位或专用露天停车场停放车辆，停车管理服务费收费标准为每日每辆5元，每月每辆100元，每年每辆1100元（相关费用纳入公共收益）。</w:t>
      </w:r>
    </w:p>
    <w:p w14:paraId="575FA09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（4）地下产权车库车位管理费30元/月，地上产权车库不收费。</w:t>
      </w:r>
    </w:p>
    <w:p w14:paraId="55A7BB6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zh-CN" w:eastAsia="zh-CN"/>
        </w:rPr>
        <w:t>4.选聘物业服务人的其他要求</w:t>
      </w:r>
      <w:r>
        <w:rPr>
          <w:rFonts w:hint="eastAsia" w:ascii="宋体" w:hAnsi="宋体" w:eastAsia="宋体" w:cs="宋体"/>
          <w:sz w:val="24"/>
          <w:szCs w:val="24"/>
          <w:lang w:val="en-US" w:eastAsia="zh-CN"/>
        </w:rPr>
        <w:t>：</w:t>
      </w:r>
    </w:p>
    <w:p w14:paraId="31F4D6B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（1）选聘新物业服务人后小区公共收益分配：</w:t>
      </w:r>
    </w:p>
    <w:p w14:paraId="34ABFC9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zh-CN" w:eastAsia="zh-CN"/>
        </w:rPr>
        <w:t>小区</w:t>
      </w:r>
      <w:r>
        <w:rPr>
          <w:rFonts w:hint="eastAsia" w:ascii="宋体" w:hAnsi="宋体" w:eastAsia="宋体" w:cs="宋体"/>
          <w:sz w:val="24"/>
          <w:szCs w:val="24"/>
          <w:lang w:val="en-US" w:eastAsia="zh-CN"/>
        </w:rPr>
        <w:t>公共收益：包括且不限于闲置物业用房出租、地面停车费、临停费用及广告费等公共部位产生的收入，扣除合理成本后按照五五比例分配，五成归属小区全体业主，转入专有账户由物管会代管，主要用于小区公共设施、设备的大修、改造等小区建设；五成归物业服务企业，作为物业服务企业管理成本和补贴。</w:t>
      </w:r>
    </w:p>
    <w:p w14:paraId="21A7602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val="zh-CN" w:eastAsia="zh-CN"/>
        </w:rPr>
        <w:t>物业服务人拟派驻在本小区的物业</w:t>
      </w:r>
      <w:r>
        <w:rPr>
          <w:rFonts w:hint="eastAsia" w:ascii="宋体" w:hAnsi="宋体" w:eastAsia="宋体" w:cs="宋体"/>
          <w:sz w:val="24"/>
          <w:szCs w:val="24"/>
          <w:lang w:val="en-US" w:eastAsia="zh-CN"/>
        </w:rPr>
        <w:t>工作</w:t>
      </w:r>
      <w:r>
        <w:rPr>
          <w:rFonts w:hint="eastAsia" w:ascii="宋体" w:hAnsi="宋体" w:eastAsia="宋体" w:cs="宋体"/>
          <w:sz w:val="24"/>
          <w:szCs w:val="24"/>
          <w:lang w:val="zh-CN" w:eastAsia="zh-CN"/>
        </w:rPr>
        <w:t>人员</w:t>
      </w:r>
      <w:r>
        <w:rPr>
          <w:rFonts w:hint="eastAsia" w:ascii="宋体" w:hAnsi="宋体" w:eastAsia="宋体" w:cs="宋体"/>
          <w:sz w:val="24"/>
          <w:szCs w:val="24"/>
          <w:lang w:val="en-US" w:eastAsia="zh-CN"/>
        </w:rPr>
        <w:t>按服务等级配置，</w:t>
      </w:r>
      <w:r>
        <w:rPr>
          <w:rFonts w:hint="eastAsia" w:ascii="宋体" w:hAnsi="宋体" w:eastAsia="宋体" w:cs="宋体"/>
          <w:sz w:val="24"/>
          <w:szCs w:val="24"/>
          <w:lang w:val="zh-CN" w:eastAsia="zh-CN"/>
        </w:rPr>
        <w:t>需</w:t>
      </w:r>
      <w:r>
        <w:rPr>
          <w:rFonts w:hint="eastAsia" w:ascii="宋体" w:hAnsi="宋体" w:eastAsia="宋体" w:cs="宋体"/>
          <w:sz w:val="24"/>
          <w:szCs w:val="24"/>
          <w:lang w:val="en-US" w:eastAsia="zh-CN"/>
        </w:rPr>
        <w:t>满足服务需求，由物业服务人在投标文件（商务标）中体现；</w:t>
      </w:r>
    </w:p>
    <w:p w14:paraId="25B7483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注：聘用退休人员需缴纳意外保险，其他物业工作人员合法用工；</w:t>
      </w:r>
    </w:p>
    <w:p w14:paraId="292C064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val="zh-CN" w:eastAsia="zh-CN"/>
        </w:rPr>
        <w:t>物业服务</w:t>
      </w:r>
      <w:r>
        <w:rPr>
          <w:rFonts w:hint="eastAsia" w:ascii="宋体" w:hAnsi="宋体" w:eastAsia="宋体" w:cs="宋体"/>
          <w:sz w:val="24"/>
          <w:szCs w:val="24"/>
          <w:lang w:val="en-US" w:eastAsia="zh-CN"/>
        </w:rPr>
        <w:t>项目现状及整改要求</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投标物业服务人在投标前应当对小区目前环境卫生及设备设施运行状况进行踏勘、核实并在投标文件（商务标）中做出相应的整改方案及整改计划，项目交接后可根据承接查验报告再做调整；整改所需的资金由投标单位在投标文件（商务标）中详细说明。</w:t>
      </w:r>
    </w:p>
    <w:p w14:paraId="2BBE9AB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根据苏府办【2024】76号文《市政府办公室关于印发苏州市数字赋能电动自行车安全充电管理工作方案的通知》要求，结合小区实际情况需物业服务人在投标文件中提出电动自行车消防安全管理相关措施和方案；</w:t>
      </w:r>
    </w:p>
    <w:p w14:paraId="7DF15B3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lang w:val="zh-CN" w:eastAsia="zh-CN"/>
        </w:rPr>
        <w:t>物业服务合同期内物业费如需调整必须经过业主大会表决通过。</w:t>
      </w:r>
    </w:p>
    <w:p w14:paraId="738C189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（6）物业公共服务收费采取</w:t>
      </w:r>
      <w:r>
        <w:rPr>
          <w:rFonts w:hint="eastAsia" w:ascii="宋体" w:hAnsi="宋体" w:eastAsia="宋体" w:cs="宋体"/>
          <w:sz w:val="24"/>
          <w:szCs w:val="24"/>
          <w:lang w:val="zh-CN" w:eastAsia="zh-CN"/>
        </w:rPr>
        <w:t>包干制。</w:t>
      </w:r>
    </w:p>
    <w:p w14:paraId="00C65BC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（7）物管会根据小区实际情况及管理需求向物业服务人提供相应的物业服务用房</w:t>
      </w:r>
      <w:r>
        <w:rPr>
          <w:rFonts w:hint="eastAsia" w:ascii="宋体" w:hAnsi="宋体" w:eastAsia="宋体" w:cs="宋体"/>
          <w:sz w:val="24"/>
          <w:szCs w:val="24"/>
          <w:lang w:val="zh-CN" w:eastAsia="zh-CN"/>
        </w:rPr>
        <w:t>。</w:t>
      </w:r>
    </w:p>
    <w:p w14:paraId="51CA0FA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（8）</w:t>
      </w:r>
      <w:r>
        <w:rPr>
          <w:rFonts w:hint="eastAsia" w:ascii="宋体" w:hAnsi="宋体" w:eastAsia="宋体" w:cs="宋体"/>
          <w:sz w:val="24"/>
          <w:szCs w:val="24"/>
          <w:lang w:val="zh-CN" w:eastAsia="zh-CN"/>
        </w:rPr>
        <w:t>中标物业服务人拟派驻的专业工作人员（项目经理、电工等）需持证上岗。</w:t>
      </w:r>
    </w:p>
    <w:p w14:paraId="21AD94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（9）</w:t>
      </w:r>
      <w:r>
        <w:rPr>
          <w:rFonts w:hint="eastAsia" w:ascii="宋体" w:hAnsi="宋体" w:eastAsia="宋体" w:cs="宋体"/>
          <w:sz w:val="24"/>
          <w:szCs w:val="24"/>
          <w:lang w:val="zh-CN" w:eastAsia="zh-CN"/>
        </w:rPr>
        <w:t>中标物业服务人承诺本项目的项目经理为单独委派，不得同时兼任其它项目，在管期间未经招标人同意不得随意调动。</w:t>
      </w:r>
    </w:p>
    <w:p w14:paraId="27E61FF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（10）</w:t>
      </w:r>
      <w:r>
        <w:rPr>
          <w:rFonts w:hint="eastAsia" w:ascii="宋体" w:hAnsi="宋体" w:eastAsia="宋体" w:cs="宋体"/>
          <w:sz w:val="24"/>
          <w:szCs w:val="24"/>
          <w:lang w:val="zh-CN" w:eastAsia="zh-CN"/>
        </w:rPr>
        <w:t>中标物业服务人承诺本项目为公司直接管理项目，合同期内不得将项目整体转包、发包或让其他公司、个人挂靠管理（电梯、消防设备等需聘请专业公司进行维保除外）。</w:t>
      </w:r>
    </w:p>
    <w:p w14:paraId="088050B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（11）</w:t>
      </w:r>
      <w:r>
        <w:rPr>
          <w:rFonts w:hint="eastAsia" w:ascii="宋体" w:hAnsi="宋体" w:eastAsia="宋体" w:cs="宋体"/>
          <w:sz w:val="24"/>
          <w:szCs w:val="24"/>
          <w:lang w:val="zh-CN" w:eastAsia="zh-CN"/>
        </w:rPr>
        <w:t>中标物业服务人须承担第三方招标代理费</w:t>
      </w:r>
      <w:r>
        <w:rPr>
          <w:rFonts w:hint="eastAsia" w:ascii="宋体" w:hAnsi="宋体" w:eastAsia="宋体" w:cs="宋体"/>
          <w:sz w:val="24"/>
          <w:szCs w:val="24"/>
          <w:lang w:val="en-US" w:eastAsia="zh-CN"/>
        </w:rPr>
        <w:t>及业主大会征询费。</w:t>
      </w:r>
    </w:p>
    <w:p w14:paraId="580CF00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（12）中标候选人</w:t>
      </w:r>
      <w:r>
        <w:rPr>
          <w:rFonts w:hint="eastAsia" w:ascii="宋体" w:hAnsi="宋体" w:eastAsia="宋体" w:cs="宋体"/>
          <w:sz w:val="24"/>
          <w:szCs w:val="24"/>
          <w:lang w:val="zh-CN" w:eastAsia="zh-CN"/>
        </w:rPr>
        <w:t>应当在</w:t>
      </w:r>
      <w:r>
        <w:rPr>
          <w:rFonts w:hint="eastAsia" w:ascii="宋体" w:hAnsi="宋体" w:eastAsia="宋体" w:cs="宋体"/>
          <w:sz w:val="24"/>
          <w:szCs w:val="24"/>
          <w:lang w:val="en-US" w:eastAsia="zh-CN"/>
        </w:rPr>
        <w:t>中标结果</w:t>
      </w:r>
      <w:r>
        <w:rPr>
          <w:rFonts w:hint="eastAsia" w:ascii="宋体" w:hAnsi="宋体" w:eastAsia="宋体" w:cs="宋体"/>
          <w:sz w:val="24"/>
          <w:szCs w:val="24"/>
          <w:lang w:val="zh-CN" w:eastAsia="zh-CN"/>
        </w:rPr>
        <w:t>公示期满后7日内缴纳</w:t>
      </w:r>
      <w:r>
        <w:rPr>
          <w:rFonts w:hint="eastAsia" w:ascii="宋体" w:hAnsi="宋体" w:eastAsia="宋体" w:cs="宋体"/>
          <w:sz w:val="24"/>
          <w:szCs w:val="24"/>
          <w:lang w:val="en-US" w:eastAsia="zh-CN"/>
        </w:rPr>
        <w:t>履约保证金5万元人民币</w:t>
      </w:r>
      <w:r>
        <w:rPr>
          <w:rFonts w:hint="eastAsia" w:ascii="宋体" w:hAnsi="宋体" w:eastAsia="宋体" w:cs="宋体"/>
          <w:sz w:val="24"/>
          <w:szCs w:val="24"/>
          <w:lang w:val="zh-CN" w:eastAsia="zh-CN"/>
        </w:rPr>
        <w:t>到</w:t>
      </w:r>
      <w:r>
        <w:rPr>
          <w:rFonts w:hint="eastAsia" w:ascii="宋体" w:hAnsi="宋体" w:eastAsia="宋体" w:cs="宋体"/>
          <w:sz w:val="24"/>
          <w:szCs w:val="24"/>
          <w:lang w:val="en-US" w:eastAsia="zh-CN"/>
        </w:rPr>
        <w:t>物管会基本账户</w:t>
      </w:r>
      <w:r>
        <w:rPr>
          <w:rFonts w:hint="eastAsia" w:ascii="宋体" w:hAnsi="宋体" w:eastAsia="宋体" w:cs="宋体"/>
          <w:sz w:val="24"/>
          <w:szCs w:val="24"/>
          <w:lang w:val="zh-CN" w:eastAsia="zh-CN"/>
        </w:rPr>
        <w:t>并足额支付第三方招标代理费</w:t>
      </w:r>
      <w:r>
        <w:rPr>
          <w:rFonts w:hint="eastAsia" w:ascii="宋体" w:hAnsi="宋体" w:eastAsia="宋体" w:cs="宋体"/>
          <w:sz w:val="24"/>
          <w:szCs w:val="24"/>
          <w:lang w:val="en-US" w:eastAsia="zh-CN"/>
        </w:rPr>
        <w:t>及业主大会咨询费</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物管会</w:t>
      </w:r>
      <w:r>
        <w:rPr>
          <w:rFonts w:hint="eastAsia" w:ascii="宋体" w:hAnsi="宋体" w:eastAsia="宋体" w:cs="宋体"/>
          <w:sz w:val="24"/>
          <w:szCs w:val="24"/>
          <w:lang w:val="zh-CN" w:eastAsia="zh-CN"/>
        </w:rPr>
        <w:t>在收到</w:t>
      </w:r>
      <w:r>
        <w:rPr>
          <w:rFonts w:hint="eastAsia" w:ascii="宋体" w:hAnsi="宋体" w:eastAsia="宋体" w:cs="宋体"/>
          <w:sz w:val="24"/>
          <w:szCs w:val="24"/>
          <w:lang w:val="en-US" w:eastAsia="zh-CN"/>
        </w:rPr>
        <w:t>履约保证金</w:t>
      </w:r>
      <w:r>
        <w:rPr>
          <w:rFonts w:hint="eastAsia" w:ascii="宋体" w:hAnsi="宋体" w:eastAsia="宋体" w:cs="宋体"/>
          <w:sz w:val="24"/>
          <w:szCs w:val="24"/>
          <w:lang w:val="zh-CN" w:eastAsia="zh-CN"/>
        </w:rPr>
        <w:t>后开具中标通知书；如</w:t>
      </w:r>
      <w:r>
        <w:rPr>
          <w:rFonts w:hint="eastAsia" w:ascii="宋体" w:hAnsi="宋体" w:eastAsia="宋体" w:cs="宋体"/>
          <w:sz w:val="24"/>
          <w:szCs w:val="24"/>
          <w:lang w:val="en-US" w:eastAsia="zh-CN"/>
        </w:rPr>
        <w:t>物业服务人</w:t>
      </w:r>
      <w:r>
        <w:rPr>
          <w:rFonts w:hint="eastAsia" w:ascii="宋体" w:hAnsi="宋体" w:eastAsia="宋体" w:cs="宋体"/>
          <w:sz w:val="24"/>
          <w:szCs w:val="24"/>
          <w:lang w:val="zh-CN" w:eastAsia="zh-CN"/>
        </w:rPr>
        <w:t>未在上述规定时间内交纳</w:t>
      </w:r>
      <w:r>
        <w:rPr>
          <w:rFonts w:hint="eastAsia" w:ascii="宋体" w:hAnsi="宋体" w:eastAsia="宋体" w:cs="宋体"/>
          <w:sz w:val="24"/>
          <w:szCs w:val="24"/>
          <w:lang w:val="en-US" w:eastAsia="zh-CN"/>
        </w:rPr>
        <w:t>履约保证金</w:t>
      </w:r>
      <w:r>
        <w:rPr>
          <w:rFonts w:hint="eastAsia" w:ascii="宋体" w:hAnsi="宋体" w:eastAsia="宋体" w:cs="宋体"/>
          <w:sz w:val="24"/>
          <w:szCs w:val="24"/>
          <w:lang w:val="zh-CN" w:eastAsia="zh-CN"/>
        </w:rPr>
        <w:t>并支付第三方费</w:t>
      </w:r>
      <w:r>
        <w:rPr>
          <w:rFonts w:hint="eastAsia" w:ascii="宋体" w:hAnsi="宋体" w:eastAsia="宋体" w:cs="宋体"/>
          <w:sz w:val="24"/>
          <w:szCs w:val="24"/>
          <w:lang w:val="en-US" w:eastAsia="zh-CN"/>
        </w:rPr>
        <w:t>用</w:t>
      </w:r>
      <w:r>
        <w:rPr>
          <w:rFonts w:hint="eastAsia" w:ascii="宋体" w:hAnsi="宋体" w:eastAsia="宋体" w:cs="宋体"/>
          <w:sz w:val="24"/>
          <w:szCs w:val="24"/>
          <w:lang w:val="zh-CN" w:eastAsia="zh-CN"/>
        </w:rPr>
        <w:t>的，视作放弃中标；按开标时得分名次递补。</w:t>
      </w:r>
    </w:p>
    <w:p w14:paraId="2C6ED58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（13）</w:t>
      </w:r>
      <w:r>
        <w:rPr>
          <w:rFonts w:hint="eastAsia" w:ascii="宋体" w:hAnsi="宋体" w:eastAsia="宋体" w:cs="宋体"/>
          <w:sz w:val="24"/>
          <w:szCs w:val="24"/>
          <w:lang w:val="zh-CN" w:eastAsia="zh-CN"/>
        </w:rPr>
        <w:t>物业服务人需每半年</w:t>
      </w:r>
      <w:r>
        <w:rPr>
          <w:rFonts w:hint="eastAsia" w:ascii="宋体" w:hAnsi="宋体" w:eastAsia="宋体" w:cs="宋体"/>
          <w:sz w:val="24"/>
          <w:szCs w:val="24"/>
          <w:lang w:val="en-US" w:eastAsia="zh-CN"/>
        </w:rPr>
        <w:t>向物管会</w:t>
      </w:r>
      <w:r>
        <w:rPr>
          <w:rFonts w:hint="eastAsia" w:ascii="宋体" w:hAnsi="宋体" w:eastAsia="宋体" w:cs="宋体"/>
          <w:sz w:val="24"/>
          <w:szCs w:val="24"/>
          <w:lang w:val="zh-CN" w:eastAsia="zh-CN"/>
        </w:rPr>
        <w:t>提交工作计划及工作报告。</w:t>
      </w:r>
    </w:p>
    <w:p w14:paraId="48CD462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（14）物管会</w:t>
      </w:r>
      <w:r>
        <w:rPr>
          <w:rFonts w:hint="eastAsia" w:ascii="宋体" w:hAnsi="宋体" w:eastAsia="宋体" w:cs="宋体"/>
          <w:sz w:val="24"/>
          <w:szCs w:val="24"/>
          <w:lang w:val="zh-CN" w:eastAsia="zh-CN"/>
        </w:rPr>
        <w:t>代表业主大会与中标物业服务人签</w:t>
      </w:r>
      <w:r>
        <w:rPr>
          <w:rFonts w:hint="eastAsia" w:ascii="宋体" w:hAnsi="宋体" w:eastAsia="宋体" w:cs="宋体"/>
          <w:sz w:val="24"/>
          <w:szCs w:val="24"/>
          <w:lang w:val="en-US" w:eastAsia="zh-CN"/>
        </w:rPr>
        <w:t>订</w:t>
      </w:r>
      <w:r>
        <w:rPr>
          <w:rFonts w:hint="eastAsia" w:ascii="宋体" w:hAnsi="宋体" w:eastAsia="宋体" w:cs="宋体"/>
          <w:sz w:val="24"/>
          <w:szCs w:val="24"/>
          <w:lang w:val="zh-CN" w:eastAsia="zh-CN"/>
        </w:rPr>
        <w:t>物业服务合同时，同时与中标物业服务人签订考核协议并设定一定的处罚</w:t>
      </w:r>
      <w:r>
        <w:rPr>
          <w:rFonts w:hint="eastAsia" w:ascii="宋体" w:hAnsi="宋体" w:eastAsia="宋体" w:cs="宋体"/>
          <w:sz w:val="24"/>
          <w:szCs w:val="24"/>
          <w:lang w:val="en-US" w:eastAsia="zh-CN"/>
        </w:rPr>
        <w:t>机制</w:t>
      </w:r>
      <w:r>
        <w:rPr>
          <w:rFonts w:hint="eastAsia" w:ascii="宋体" w:hAnsi="宋体" w:eastAsia="宋体" w:cs="宋体"/>
          <w:sz w:val="24"/>
          <w:szCs w:val="24"/>
          <w:lang w:val="zh-CN" w:eastAsia="zh-CN"/>
        </w:rPr>
        <w:t>。考核以</w:t>
      </w:r>
      <w:r>
        <w:rPr>
          <w:rFonts w:hint="eastAsia" w:ascii="宋体" w:hAnsi="宋体" w:eastAsia="宋体" w:cs="宋体"/>
          <w:sz w:val="24"/>
          <w:szCs w:val="24"/>
          <w:lang w:val="en-US" w:eastAsia="zh-CN"/>
        </w:rPr>
        <w:t>季度</w:t>
      </w:r>
      <w:r>
        <w:rPr>
          <w:rFonts w:hint="eastAsia" w:ascii="宋体" w:hAnsi="宋体" w:eastAsia="宋体" w:cs="宋体"/>
          <w:sz w:val="24"/>
          <w:szCs w:val="24"/>
          <w:lang w:val="zh-CN" w:eastAsia="zh-CN"/>
        </w:rPr>
        <w:t>为周期，</w:t>
      </w:r>
      <w:r>
        <w:rPr>
          <w:rFonts w:hint="eastAsia" w:ascii="宋体" w:hAnsi="宋体" w:eastAsia="宋体" w:cs="宋体"/>
          <w:sz w:val="24"/>
          <w:szCs w:val="24"/>
          <w:lang w:val="en-US" w:eastAsia="zh-CN"/>
        </w:rPr>
        <w:t>具体参照晾晒考核</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考核金从履约保证金中支出。</w:t>
      </w:r>
      <w:r>
        <w:rPr>
          <w:rFonts w:hint="eastAsia" w:ascii="宋体" w:hAnsi="宋体" w:eastAsia="宋体" w:cs="宋体"/>
          <w:sz w:val="24"/>
          <w:szCs w:val="24"/>
          <w:lang w:val="zh-CN" w:eastAsia="zh-CN"/>
        </w:rPr>
        <w:t>考核总分为100分：物业服务考核达到</w:t>
      </w:r>
      <w:r>
        <w:rPr>
          <w:rFonts w:hint="eastAsia" w:ascii="宋体" w:hAnsi="宋体" w:eastAsia="宋体" w:cs="宋体"/>
          <w:sz w:val="24"/>
          <w:szCs w:val="24"/>
          <w:lang w:val="en-US" w:eastAsia="zh-CN"/>
        </w:rPr>
        <w:t>80</w:t>
      </w:r>
      <w:r>
        <w:rPr>
          <w:rFonts w:hint="eastAsia" w:ascii="宋体" w:hAnsi="宋体" w:eastAsia="宋体" w:cs="宋体"/>
          <w:sz w:val="24"/>
          <w:szCs w:val="24"/>
          <w:lang w:val="zh-CN" w:eastAsia="zh-CN"/>
        </w:rPr>
        <w:t>分及以上的考核金不予扣除；</w:t>
      </w:r>
      <w:r>
        <w:rPr>
          <w:rFonts w:hint="eastAsia" w:ascii="宋体" w:hAnsi="宋体" w:eastAsia="宋体" w:cs="宋体"/>
          <w:sz w:val="24"/>
          <w:szCs w:val="24"/>
          <w:lang w:val="en-US" w:eastAsia="zh-CN"/>
        </w:rPr>
        <w:t>75</w:t>
      </w:r>
      <w:r>
        <w:rPr>
          <w:rFonts w:hint="eastAsia" w:ascii="宋体" w:hAnsi="宋体" w:eastAsia="宋体" w:cs="宋体"/>
          <w:sz w:val="24"/>
          <w:szCs w:val="24"/>
          <w:lang w:val="zh-CN" w:eastAsia="zh-CN"/>
        </w:rPr>
        <w:t>至</w:t>
      </w:r>
      <w:r>
        <w:rPr>
          <w:rFonts w:hint="eastAsia" w:ascii="宋体" w:hAnsi="宋体" w:eastAsia="宋体" w:cs="宋体"/>
          <w:sz w:val="24"/>
          <w:szCs w:val="24"/>
          <w:lang w:val="en-US" w:eastAsia="zh-CN"/>
        </w:rPr>
        <w:t>79</w:t>
      </w:r>
      <w:r>
        <w:rPr>
          <w:rFonts w:hint="eastAsia" w:ascii="宋体" w:hAnsi="宋体" w:eastAsia="宋体" w:cs="宋体"/>
          <w:sz w:val="24"/>
          <w:szCs w:val="24"/>
          <w:lang w:val="zh-CN" w:eastAsia="zh-CN"/>
        </w:rPr>
        <w:t>分，按每低1分扣罚</w:t>
      </w:r>
      <w:r>
        <w:rPr>
          <w:rFonts w:hint="eastAsia" w:ascii="宋体" w:hAnsi="宋体" w:eastAsia="宋体" w:cs="宋体"/>
          <w:sz w:val="24"/>
          <w:szCs w:val="24"/>
          <w:lang w:val="en-US" w:eastAsia="zh-CN"/>
        </w:rPr>
        <w:t>500</w:t>
      </w:r>
      <w:r>
        <w:rPr>
          <w:rFonts w:hint="eastAsia" w:ascii="宋体" w:hAnsi="宋体" w:eastAsia="宋体" w:cs="宋体"/>
          <w:sz w:val="24"/>
          <w:szCs w:val="24"/>
          <w:lang w:val="zh-CN" w:eastAsia="zh-CN"/>
        </w:rPr>
        <w:t>元人民币</w:t>
      </w:r>
      <w:r>
        <w:rPr>
          <w:rFonts w:hint="eastAsia" w:ascii="宋体" w:hAnsi="宋体" w:eastAsia="宋体" w:cs="宋体"/>
          <w:sz w:val="24"/>
          <w:szCs w:val="24"/>
          <w:lang w:val="en-US" w:eastAsia="zh-CN"/>
        </w:rPr>
        <w:t>；74</w:t>
      </w:r>
      <w:r>
        <w:rPr>
          <w:rFonts w:hint="eastAsia" w:ascii="宋体" w:hAnsi="宋体" w:eastAsia="宋体" w:cs="宋体"/>
          <w:sz w:val="24"/>
          <w:szCs w:val="24"/>
          <w:lang w:val="zh-CN" w:eastAsia="zh-CN"/>
        </w:rPr>
        <w:t>分及以下，按每低1分扣罚：</w:t>
      </w:r>
      <w:r>
        <w:rPr>
          <w:rFonts w:hint="eastAsia" w:ascii="宋体" w:hAnsi="宋体" w:eastAsia="宋体" w:cs="宋体"/>
          <w:sz w:val="24"/>
          <w:szCs w:val="24"/>
          <w:lang w:val="en-US" w:eastAsia="zh-CN"/>
        </w:rPr>
        <w:t>1</w:t>
      </w:r>
      <w:r>
        <w:rPr>
          <w:rFonts w:hint="eastAsia" w:ascii="宋体" w:hAnsi="宋体" w:eastAsia="宋体" w:cs="宋体"/>
          <w:sz w:val="24"/>
          <w:szCs w:val="24"/>
          <w:lang w:val="zh-CN" w:eastAsia="zh-CN"/>
        </w:rPr>
        <w:t>000元人民币，</w:t>
      </w:r>
      <w:r>
        <w:rPr>
          <w:rFonts w:hint="eastAsia" w:ascii="宋体" w:hAnsi="宋体" w:eastAsia="宋体" w:cs="宋体"/>
          <w:sz w:val="24"/>
          <w:szCs w:val="24"/>
          <w:lang w:val="en-US" w:eastAsia="zh-CN"/>
        </w:rPr>
        <w:t>扣完为止</w:t>
      </w:r>
      <w:r>
        <w:rPr>
          <w:rFonts w:hint="eastAsia" w:ascii="宋体" w:hAnsi="宋体" w:eastAsia="宋体" w:cs="宋体"/>
          <w:sz w:val="24"/>
          <w:szCs w:val="24"/>
          <w:lang w:val="zh-CN" w:eastAsia="zh-CN"/>
        </w:rPr>
        <w:t>。具体考核细则和执行方案由</w:t>
      </w:r>
      <w:r>
        <w:rPr>
          <w:rFonts w:hint="eastAsia" w:ascii="宋体" w:hAnsi="宋体" w:eastAsia="宋体" w:cs="宋体"/>
          <w:sz w:val="24"/>
          <w:szCs w:val="24"/>
          <w:lang w:val="en-US" w:eastAsia="zh-CN"/>
        </w:rPr>
        <w:t>物管会</w:t>
      </w:r>
      <w:r>
        <w:rPr>
          <w:rFonts w:hint="eastAsia" w:ascii="宋体" w:hAnsi="宋体" w:eastAsia="宋体" w:cs="宋体"/>
          <w:sz w:val="24"/>
          <w:szCs w:val="24"/>
          <w:lang w:val="zh-CN" w:eastAsia="zh-CN"/>
        </w:rPr>
        <w:t>与物业服务人约定一致后执行。</w:t>
      </w:r>
    </w:p>
    <w:p w14:paraId="37BE4A5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（15）本项目服务期内在《昆山市住宅小区物业服务项目“晾晒”考核办法 （试行）》考核中被列入“问题项目”名单的，扣除履约保证金10000元，物业服务人应在收到物管会通知之日起15日内补足保证金；服务期内，连续两次被列为“问题项目”的</w:t>
      </w:r>
      <w:r>
        <w:rPr>
          <w:rFonts w:hint="eastAsia" w:ascii="宋体" w:hAnsi="宋体" w:eastAsia="宋体" w:cs="宋体"/>
          <w:sz w:val="24"/>
          <w:szCs w:val="24"/>
          <w:lang w:val="zh-CN" w:eastAsia="zh-CN"/>
        </w:rPr>
        <w:t>视为严重违约，</w:t>
      </w:r>
      <w:r>
        <w:rPr>
          <w:rFonts w:hint="eastAsia" w:ascii="宋体" w:hAnsi="宋体" w:eastAsia="宋体" w:cs="宋体"/>
          <w:sz w:val="24"/>
          <w:szCs w:val="24"/>
          <w:lang w:val="en-US" w:eastAsia="zh-CN"/>
        </w:rPr>
        <w:t>物管会</w:t>
      </w:r>
      <w:r>
        <w:rPr>
          <w:rFonts w:hint="eastAsia" w:ascii="宋体" w:hAnsi="宋体" w:eastAsia="宋体" w:cs="宋体"/>
          <w:sz w:val="24"/>
          <w:szCs w:val="24"/>
          <w:lang w:val="zh-CN" w:eastAsia="zh-CN"/>
        </w:rPr>
        <w:t>有权</w:t>
      </w:r>
      <w:r>
        <w:rPr>
          <w:rFonts w:hint="eastAsia" w:ascii="宋体" w:hAnsi="宋体" w:eastAsia="宋体" w:cs="宋体"/>
          <w:sz w:val="24"/>
          <w:szCs w:val="24"/>
          <w:lang w:val="en-US" w:eastAsia="zh-CN"/>
        </w:rPr>
        <w:t>直接</w:t>
      </w:r>
      <w:r>
        <w:rPr>
          <w:rFonts w:hint="eastAsia" w:ascii="宋体" w:hAnsi="宋体" w:eastAsia="宋体" w:cs="宋体"/>
          <w:sz w:val="24"/>
          <w:szCs w:val="24"/>
          <w:lang w:val="zh-CN" w:eastAsia="zh-CN"/>
        </w:rPr>
        <w:t>解聘物业服务人，业主大会及</w:t>
      </w:r>
      <w:r>
        <w:rPr>
          <w:rFonts w:hint="eastAsia" w:ascii="宋体" w:hAnsi="宋体" w:eastAsia="宋体" w:cs="宋体"/>
          <w:sz w:val="24"/>
          <w:szCs w:val="24"/>
          <w:lang w:val="en-US" w:eastAsia="zh-CN"/>
        </w:rPr>
        <w:t>物管会</w:t>
      </w:r>
      <w:r>
        <w:rPr>
          <w:rFonts w:hint="eastAsia" w:ascii="宋体" w:hAnsi="宋体" w:eastAsia="宋体" w:cs="宋体"/>
          <w:sz w:val="24"/>
          <w:szCs w:val="24"/>
          <w:lang w:val="zh-CN" w:eastAsia="zh-CN"/>
        </w:rPr>
        <w:t>不承担任何违约及赔偿责任</w:t>
      </w:r>
      <w:r>
        <w:rPr>
          <w:rFonts w:hint="eastAsia" w:ascii="宋体" w:hAnsi="宋体" w:eastAsia="宋体" w:cs="宋体"/>
          <w:sz w:val="24"/>
          <w:szCs w:val="24"/>
          <w:lang w:val="en-US" w:eastAsia="zh-CN"/>
        </w:rPr>
        <w:t>。履约保证金不予退还。</w:t>
      </w:r>
    </w:p>
    <w:p w14:paraId="31BF118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zh-CN" w:eastAsia="zh-CN"/>
        </w:rPr>
        <w:t>注：</w:t>
      </w:r>
      <w:r>
        <w:rPr>
          <w:rFonts w:hint="eastAsia" w:ascii="宋体" w:hAnsi="宋体" w:eastAsia="宋体" w:cs="宋体"/>
          <w:sz w:val="24"/>
          <w:szCs w:val="24"/>
          <w:lang w:val="en-US" w:eastAsia="zh-CN"/>
        </w:rPr>
        <w:t>物业服务合同期间内，</w:t>
      </w:r>
      <w:r>
        <w:rPr>
          <w:rFonts w:hint="eastAsia" w:ascii="宋体" w:hAnsi="宋体" w:eastAsia="宋体" w:cs="宋体"/>
          <w:sz w:val="24"/>
          <w:szCs w:val="24"/>
          <w:lang w:val="zh-CN" w:eastAsia="zh-CN"/>
        </w:rPr>
        <w:t>物业服务人不履行以上各项条款的，</w:t>
      </w:r>
      <w:r>
        <w:rPr>
          <w:rFonts w:hint="eastAsia" w:ascii="宋体" w:hAnsi="宋体" w:eastAsia="宋体" w:cs="宋体"/>
          <w:sz w:val="24"/>
          <w:szCs w:val="24"/>
          <w:lang w:val="en-US" w:eastAsia="zh-CN"/>
        </w:rPr>
        <w:t>由物管会督促整改，逾期不整改的，物管会有权解聘物业服务人，</w:t>
      </w:r>
      <w:r>
        <w:rPr>
          <w:rFonts w:hint="eastAsia" w:ascii="宋体" w:hAnsi="宋体" w:eastAsia="宋体" w:cs="宋体"/>
          <w:sz w:val="24"/>
          <w:szCs w:val="24"/>
          <w:lang w:val="zh-CN" w:eastAsia="zh-CN"/>
        </w:rPr>
        <w:t>招标人不承担任何</w:t>
      </w:r>
      <w:r>
        <w:rPr>
          <w:rFonts w:hint="eastAsia" w:ascii="宋体" w:hAnsi="宋体" w:eastAsia="宋体" w:cs="宋体"/>
          <w:sz w:val="24"/>
          <w:szCs w:val="24"/>
          <w:lang w:val="en-US" w:eastAsia="zh-CN"/>
        </w:rPr>
        <w:t>违约</w:t>
      </w:r>
      <w:r>
        <w:rPr>
          <w:rFonts w:hint="eastAsia" w:ascii="宋体" w:hAnsi="宋体" w:eastAsia="宋体" w:cs="宋体"/>
          <w:sz w:val="24"/>
          <w:szCs w:val="24"/>
          <w:lang w:val="zh-CN" w:eastAsia="zh-CN"/>
        </w:rPr>
        <w:t>责任；物业服务人</w:t>
      </w:r>
      <w:r>
        <w:rPr>
          <w:rFonts w:hint="eastAsia" w:ascii="宋体" w:hAnsi="宋体" w:eastAsia="宋体" w:cs="宋体"/>
          <w:sz w:val="24"/>
          <w:szCs w:val="24"/>
          <w:lang w:val="en-US" w:eastAsia="zh-CN"/>
        </w:rPr>
        <w:t>在投标时承诺用于小区设施设备整改的各项实际支出不予</w:t>
      </w:r>
      <w:r>
        <w:rPr>
          <w:rFonts w:hint="eastAsia" w:ascii="宋体" w:hAnsi="宋体" w:eastAsia="宋体" w:cs="宋体"/>
          <w:sz w:val="24"/>
          <w:szCs w:val="24"/>
          <w:lang w:val="zh-CN" w:eastAsia="zh-CN"/>
        </w:rPr>
        <w:t>退还。</w:t>
      </w:r>
    </w:p>
    <w:p w14:paraId="158C4A4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5.重新选聘的物业服务合同期限：</w:t>
      </w:r>
    </w:p>
    <w:p w14:paraId="0177505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物业服务合同期限拟定为叁年；中标物业</w:t>
      </w:r>
      <w:r>
        <w:rPr>
          <w:rFonts w:hint="eastAsia" w:ascii="宋体" w:hAnsi="宋体" w:eastAsia="宋体" w:cs="宋体"/>
          <w:sz w:val="24"/>
          <w:szCs w:val="24"/>
          <w:lang w:val="en-US" w:eastAsia="zh-CN"/>
        </w:rPr>
        <w:t>服务人</w:t>
      </w:r>
      <w:r>
        <w:rPr>
          <w:rFonts w:hint="eastAsia" w:ascii="宋体" w:hAnsi="宋体" w:eastAsia="宋体" w:cs="宋体"/>
          <w:sz w:val="24"/>
          <w:szCs w:val="24"/>
          <w:lang w:val="zh-CN" w:eastAsia="zh-CN"/>
        </w:rPr>
        <w:t>向业主收取物业服务费的期限自实际交接之日起算。</w:t>
      </w:r>
    </w:p>
    <w:p w14:paraId="295AD78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6.其他</w:t>
      </w:r>
    </w:p>
    <w:p w14:paraId="6894C52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（1）本次招标的内容、要求等以形成书面文字的招标文件为准，投标人对招标文件中未明确、述及的自行作出的推论、解释和结论等，招标人不承担相关责任。</w:t>
      </w:r>
    </w:p>
    <w:p w14:paraId="158F7B9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（2）如果投标人没有按照招标文件要求提交全部材料，或者没有对招标文件作出实质性响应（所谓实质性响应是指符合招标文件的所有要求、条件），潜在的投标风险由投标人承担。</w:t>
      </w:r>
    </w:p>
    <w:p w14:paraId="5EE71EF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（3）招标人和投标人在招、投标活动中负有遵守法律法规、接受物业行政主管部门监督管理、履行合同约定等各项义务。</w:t>
      </w:r>
    </w:p>
    <w:p w14:paraId="316C50F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（4）中标物业服务企业不履行以上各项条款的视作自动放弃该小区的物业管理，招标人不承担任何责任，可以按照选聘方案重新选聘新物业。中标（承接）物业服务企业已支付使用的各项费用将不再退还。</w:t>
      </w:r>
    </w:p>
    <w:p w14:paraId="7CB244D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（5）同意将以下条款列入物业合同中物业服务人（乙方）免责条款中：</w:t>
      </w:r>
    </w:p>
    <w:p w14:paraId="1D9172A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①天灾、地震等不可抗力的事由所致的损害；</w:t>
      </w:r>
    </w:p>
    <w:p w14:paraId="1DCC8D0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②暴动、抢劫、破坏、爆炸、火灾、刑事犯罪等违法行为等事由所致的损害，但因乙方故意或过失所致者，不在此限；</w:t>
      </w:r>
    </w:p>
    <w:p w14:paraId="400F8CB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③因本合同标的物本身固有瑕疵所致的损害；</w:t>
      </w:r>
    </w:p>
    <w:p w14:paraId="1A0B65A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④因甲方或第三者之故意、过失所致的损害；</w:t>
      </w:r>
    </w:p>
    <w:p w14:paraId="5892908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⑤甲方或业主、物业使用人专有部分的火灾、盗窃等所致的损害；</w:t>
      </w:r>
    </w:p>
    <w:p w14:paraId="44D209C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⑥本合同标的物之共用部分（含共用部位、共用设备设施）自然或人为的任何损坏。但因乙方故意或重大过失所致的，不在此限；</w:t>
      </w:r>
    </w:p>
    <w:p w14:paraId="4DF75A1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⑦停车场内，车辆被窃、被破坏或车内财物被窃的损害；但依照物业合同约定承担保管责任的，不在此限；</w:t>
      </w:r>
    </w:p>
    <w:p w14:paraId="75594B4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⑧除上述各款外，其他不可归责于乙方之事由的。</w:t>
      </w:r>
    </w:p>
    <w:p w14:paraId="47366E5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注明：业主、物业使用人延迟缴纳物业费不可归责于甲方。</w:t>
      </w:r>
    </w:p>
    <w:p w14:paraId="78F7745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八、投标申请人资格确定：</w:t>
      </w:r>
    </w:p>
    <w:p w14:paraId="373055A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各申请投标单位必须于投标报名截止时间前将投标申请人所具备条件的证明材料送至昆山新忠健项目管理有限公司，报名截止后由招标人进行资格审查,确定有效报名的投标申请人。报名日期截止后递交的报名材料一律不再接收，视作自动放弃。</w:t>
      </w:r>
    </w:p>
    <w:p w14:paraId="62104A8C">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2.本次招标采取公开招标的方式。</w:t>
      </w:r>
    </w:p>
    <w:p w14:paraId="30E7EA6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val="zh-CN" w:eastAsia="zh-CN"/>
        </w:rPr>
        <w:t>.公开招标方式：选聘新物业服务人的招标工作招标人委托第三方公司（</w:t>
      </w:r>
      <w:r>
        <w:rPr>
          <w:rFonts w:hint="eastAsia" w:ascii="宋体" w:hAnsi="宋体" w:eastAsia="宋体" w:cs="宋体"/>
          <w:sz w:val="24"/>
          <w:szCs w:val="24"/>
          <w:lang w:val="en-US" w:eastAsia="zh-CN"/>
        </w:rPr>
        <w:t>昆山新忠健项目管理有限公司</w:t>
      </w:r>
      <w:r>
        <w:rPr>
          <w:rFonts w:hint="eastAsia" w:ascii="宋体" w:hAnsi="宋体" w:eastAsia="宋体" w:cs="宋体"/>
          <w:sz w:val="24"/>
          <w:szCs w:val="24"/>
          <w:lang w:val="zh-CN" w:eastAsia="zh-CN"/>
        </w:rPr>
        <w:t>）组织实施，招标过程中的费用由第三方公司先行垫付，由中标物业服务人承担。</w:t>
      </w:r>
    </w:p>
    <w:p w14:paraId="77CA989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4.物业企业符合条件的均可主动报名参加。</w:t>
      </w:r>
    </w:p>
    <w:p w14:paraId="09A3E92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入围说明：</w:t>
      </w:r>
    </w:p>
    <w:p w14:paraId="3B272A7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（1）本次招标设定入围物业服务企业数量为3到5家。若通过资格预审的合格投标人数量符合该区间，则全部纳入候选名单参与后续投标流程。</w:t>
      </w:r>
    </w:p>
    <w:p w14:paraId="49167DB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（2）当资格预审合格投标人数量超过5家时，执行以下差额评审程序</w:t>
      </w: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由物管会组织3名物管会成员及2名业主代表（业主须向社区提交报名材料，经审核确认资格后组织抽签确定人选。凡存在物业行业从业背景或关联关系的申请人，将直接取消报名资格）对投标人及其在苏州市域内的住宅项目进行实地考察。物管会成员及业主代表根据考察结果进行差额表决(在下列表格内勾选5家物业服务企业)，按得票数排序确定5家入围企业。</w:t>
      </w:r>
    </w:p>
    <w:p w14:paraId="6FAF1A5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val="zh-CN" w:eastAsia="zh-CN"/>
        </w:rPr>
        <w:t>若资格预审合格投标人数量不足3家，招标人应启动选聘方案调整并经</w:t>
      </w:r>
      <w:r>
        <w:rPr>
          <w:rFonts w:hint="eastAsia" w:ascii="宋体" w:hAnsi="宋体" w:eastAsia="宋体" w:cs="宋体"/>
          <w:sz w:val="24"/>
          <w:szCs w:val="24"/>
          <w:lang w:val="en-US" w:eastAsia="zh-CN"/>
        </w:rPr>
        <w:t>公示7天无异议后</w:t>
      </w:r>
      <w:r>
        <w:rPr>
          <w:rFonts w:hint="eastAsia" w:ascii="宋体" w:hAnsi="宋体" w:eastAsia="宋体" w:cs="宋体"/>
          <w:sz w:val="24"/>
          <w:szCs w:val="24"/>
          <w:lang w:val="zh-CN" w:eastAsia="zh-CN"/>
        </w:rPr>
        <w:t>重新发布招标公告（调整</w:t>
      </w:r>
      <w:r>
        <w:rPr>
          <w:rFonts w:hint="eastAsia" w:ascii="宋体" w:hAnsi="宋体" w:eastAsia="宋体" w:cs="宋体"/>
          <w:sz w:val="24"/>
          <w:szCs w:val="24"/>
          <w:lang w:val="en-US" w:eastAsia="zh-CN"/>
        </w:rPr>
        <w:t>选聘方案无需另行召开业主大会）</w:t>
      </w:r>
      <w:r>
        <w:rPr>
          <w:rFonts w:hint="eastAsia" w:ascii="宋体" w:hAnsi="宋体" w:eastAsia="宋体" w:cs="宋体"/>
          <w:sz w:val="24"/>
          <w:szCs w:val="24"/>
          <w:lang w:val="zh-CN" w:eastAsia="zh-CN"/>
        </w:rPr>
        <w:t>，第二次招标报名符合招标</w:t>
      </w:r>
      <w:r>
        <w:rPr>
          <w:rFonts w:hint="eastAsia" w:ascii="宋体" w:hAnsi="宋体" w:eastAsia="宋体" w:cs="宋体"/>
          <w:sz w:val="24"/>
          <w:szCs w:val="24"/>
          <w:lang w:val="en-US" w:eastAsia="zh-CN"/>
        </w:rPr>
        <w:t>要求</w:t>
      </w:r>
      <w:r>
        <w:rPr>
          <w:rFonts w:hint="eastAsia" w:ascii="宋体" w:hAnsi="宋体" w:eastAsia="宋体" w:cs="宋体"/>
          <w:sz w:val="24"/>
          <w:szCs w:val="24"/>
          <w:lang w:val="zh-CN" w:eastAsia="zh-CN"/>
        </w:rPr>
        <w:t>的物业服务人仍不满</w:t>
      </w:r>
      <w:r>
        <w:rPr>
          <w:rFonts w:hint="eastAsia" w:ascii="宋体" w:hAnsi="宋体" w:eastAsia="宋体" w:cs="宋体"/>
          <w:sz w:val="24"/>
          <w:szCs w:val="24"/>
          <w:lang w:val="en-US" w:eastAsia="zh-CN"/>
        </w:rPr>
        <w:t>3家的，物管会</w:t>
      </w:r>
      <w:r>
        <w:rPr>
          <w:rFonts w:hint="eastAsia" w:ascii="宋体" w:hAnsi="宋体" w:eastAsia="宋体" w:cs="宋体"/>
          <w:sz w:val="24"/>
          <w:szCs w:val="24"/>
          <w:lang w:val="zh-CN" w:eastAsia="zh-CN"/>
        </w:rPr>
        <w:t>可以</w:t>
      </w:r>
      <w:r>
        <w:rPr>
          <w:rFonts w:hint="eastAsia" w:ascii="宋体" w:hAnsi="宋体" w:eastAsia="宋体" w:cs="宋体"/>
          <w:sz w:val="24"/>
          <w:szCs w:val="24"/>
          <w:lang w:val="en-US" w:eastAsia="zh-CN"/>
        </w:rPr>
        <w:t>以协议方式选聘</w:t>
      </w:r>
      <w:r>
        <w:rPr>
          <w:rFonts w:hint="eastAsia" w:ascii="宋体" w:hAnsi="宋体" w:eastAsia="宋体" w:cs="宋体"/>
          <w:sz w:val="24"/>
          <w:szCs w:val="24"/>
          <w:lang w:val="zh-CN" w:eastAsia="zh-CN"/>
        </w:rPr>
        <w:t>物业服务人。正式开标时若有效投标人数量低于3家，招标人应依法宣布流标并重新组织招标，确保程序合规性。</w:t>
      </w:r>
    </w:p>
    <w:p w14:paraId="00BDB14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评标</w:t>
      </w:r>
      <w:r>
        <w:rPr>
          <w:rFonts w:hint="eastAsia" w:ascii="宋体" w:hAnsi="宋体" w:eastAsia="宋体" w:cs="宋体"/>
          <w:sz w:val="24"/>
          <w:szCs w:val="24"/>
          <w:lang w:val="en-US" w:eastAsia="zh-CN"/>
        </w:rPr>
        <w:t>小组</w:t>
      </w:r>
      <w:r>
        <w:rPr>
          <w:rFonts w:hint="eastAsia" w:ascii="宋体" w:hAnsi="宋体" w:eastAsia="宋体" w:cs="宋体"/>
          <w:sz w:val="24"/>
          <w:szCs w:val="24"/>
        </w:rPr>
        <w:t>组成：</w:t>
      </w:r>
      <w:r>
        <w:rPr>
          <w:rFonts w:hint="eastAsia" w:ascii="宋体" w:hAnsi="宋体" w:eastAsia="宋体" w:cs="宋体"/>
          <w:sz w:val="24"/>
          <w:szCs w:val="24"/>
          <w:lang w:val="en-US" w:eastAsia="zh-CN"/>
        </w:rPr>
        <w:t>评标委员会由物管会从市物业协会的评标专家名册中随机抽取的评标专家4人，物管会成员1人</w:t>
      </w:r>
      <w:r>
        <w:rPr>
          <w:rFonts w:hint="eastAsia" w:ascii="宋体" w:hAnsi="宋体" w:eastAsia="宋体" w:cs="宋体"/>
          <w:sz w:val="24"/>
          <w:szCs w:val="24"/>
          <w:lang w:val="zh-CN" w:eastAsia="zh-CN"/>
        </w:rPr>
        <w:t>。开标见证人包括：招标人推荐物管会成员</w:t>
      </w:r>
      <w:r>
        <w:rPr>
          <w:rFonts w:hint="eastAsia" w:ascii="宋体" w:hAnsi="宋体" w:eastAsia="宋体" w:cs="宋体"/>
          <w:sz w:val="24"/>
          <w:szCs w:val="24"/>
          <w:lang w:val="en-US" w:eastAsia="zh-CN"/>
        </w:rPr>
        <w:t>2</w:t>
      </w:r>
      <w:r>
        <w:rPr>
          <w:rFonts w:hint="eastAsia" w:ascii="宋体" w:hAnsi="宋体" w:eastAsia="宋体" w:cs="宋体"/>
          <w:sz w:val="24"/>
          <w:szCs w:val="24"/>
          <w:lang w:val="zh-CN" w:eastAsia="zh-CN"/>
        </w:rPr>
        <w:t>人、</w:t>
      </w:r>
      <w:r>
        <w:rPr>
          <w:rFonts w:hint="eastAsia" w:ascii="宋体" w:hAnsi="宋体" w:eastAsia="宋体" w:cs="宋体"/>
          <w:sz w:val="24"/>
          <w:szCs w:val="24"/>
          <w:lang w:val="en-US" w:eastAsia="zh-CN"/>
        </w:rPr>
        <w:t>社区</w:t>
      </w:r>
      <w:r>
        <w:rPr>
          <w:rFonts w:hint="eastAsia" w:ascii="宋体" w:hAnsi="宋体" w:eastAsia="宋体" w:cs="宋体"/>
          <w:sz w:val="24"/>
          <w:szCs w:val="24"/>
          <w:lang w:val="zh-CN" w:eastAsia="zh-CN"/>
        </w:rPr>
        <w:t>1人、</w:t>
      </w:r>
      <w:r>
        <w:rPr>
          <w:rFonts w:hint="eastAsia" w:ascii="宋体" w:hAnsi="宋体" w:eastAsia="宋体" w:cs="宋体"/>
          <w:sz w:val="24"/>
          <w:szCs w:val="24"/>
          <w:lang w:val="en-US" w:eastAsia="zh-CN"/>
        </w:rPr>
        <w:t>张浦镇物管科</w:t>
      </w:r>
      <w:r>
        <w:rPr>
          <w:rFonts w:hint="eastAsia" w:ascii="宋体" w:hAnsi="宋体" w:eastAsia="宋体" w:cs="宋体"/>
          <w:sz w:val="24"/>
          <w:szCs w:val="24"/>
          <w:lang w:val="zh-CN" w:eastAsia="zh-CN"/>
        </w:rPr>
        <w:t>1人。</w:t>
      </w:r>
    </w:p>
    <w:p w14:paraId="588B115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6.</w:t>
      </w:r>
      <w:r>
        <w:rPr>
          <w:rFonts w:hint="eastAsia" w:ascii="宋体" w:hAnsi="宋体" w:eastAsia="宋体" w:cs="宋体"/>
          <w:sz w:val="24"/>
          <w:szCs w:val="24"/>
          <w:lang w:val="zh-CN" w:eastAsia="zh-CN"/>
        </w:rPr>
        <w:t>评分标准为：</w:t>
      </w:r>
      <w:r>
        <w:rPr>
          <w:rFonts w:hint="eastAsia" w:ascii="宋体" w:hAnsi="宋体" w:eastAsia="宋体" w:cs="宋体"/>
          <w:sz w:val="24"/>
          <w:szCs w:val="24"/>
          <w:lang w:val="en-US" w:eastAsia="zh-CN"/>
        </w:rPr>
        <w:t>信用分30分（30×信用分%,信用评分以官方最新发布为准）、</w:t>
      </w:r>
      <w:r>
        <w:rPr>
          <w:rFonts w:hint="eastAsia" w:ascii="宋体" w:hAnsi="宋体" w:eastAsia="宋体" w:cs="宋体"/>
          <w:sz w:val="24"/>
          <w:szCs w:val="24"/>
          <w:lang w:val="zh-CN" w:eastAsia="zh-CN"/>
        </w:rPr>
        <w:t>商务标</w:t>
      </w:r>
      <w:r>
        <w:rPr>
          <w:rFonts w:hint="eastAsia" w:ascii="宋体" w:hAnsi="宋体" w:eastAsia="宋体" w:cs="宋体"/>
          <w:sz w:val="24"/>
          <w:szCs w:val="24"/>
          <w:lang w:val="en-US" w:eastAsia="zh-CN"/>
        </w:rPr>
        <w:t>30</w:t>
      </w:r>
      <w:r>
        <w:rPr>
          <w:rFonts w:hint="eastAsia" w:ascii="宋体" w:hAnsi="宋体" w:eastAsia="宋体" w:cs="宋体"/>
          <w:sz w:val="24"/>
          <w:szCs w:val="24"/>
          <w:lang w:val="zh-CN" w:eastAsia="zh-CN"/>
        </w:rPr>
        <w:t>分（答辩时项目经理需携带身份证原件、项目经理证原件）、技术标</w:t>
      </w:r>
      <w:r>
        <w:rPr>
          <w:rFonts w:hint="eastAsia" w:ascii="宋体" w:hAnsi="宋体" w:eastAsia="宋体" w:cs="宋体"/>
          <w:sz w:val="24"/>
          <w:szCs w:val="24"/>
          <w:lang w:val="en-US" w:eastAsia="zh-CN"/>
        </w:rPr>
        <w:t>30</w:t>
      </w:r>
      <w:r>
        <w:rPr>
          <w:rFonts w:hint="eastAsia" w:ascii="宋体" w:hAnsi="宋体" w:eastAsia="宋体" w:cs="宋体"/>
          <w:sz w:val="24"/>
          <w:szCs w:val="24"/>
          <w:lang w:val="zh-CN" w:eastAsia="zh-CN"/>
        </w:rPr>
        <w:t>分、答疑分</w:t>
      </w:r>
      <w:r>
        <w:rPr>
          <w:rFonts w:hint="eastAsia" w:ascii="宋体" w:hAnsi="宋体" w:eastAsia="宋体" w:cs="宋体"/>
          <w:sz w:val="24"/>
          <w:szCs w:val="24"/>
          <w:lang w:val="en-US" w:eastAsia="zh-CN"/>
        </w:rPr>
        <w:t>10</w:t>
      </w:r>
      <w:r>
        <w:rPr>
          <w:rFonts w:hint="eastAsia" w:ascii="宋体" w:hAnsi="宋体" w:eastAsia="宋体" w:cs="宋体"/>
          <w:sz w:val="24"/>
          <w:szCs w:val="24"/>
          <w:lang w:val="zh-CN" w:eastAsia="zh-CN"/>
        </w:rPr>
        <w:t>分。</w:t>
      </w:r>
    </w:p>
    <w:p w14:paraId="409487D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7.</w:t>
      </w:r>
      <w:r>
        <w:rPr>
          <w:rFonts w:hint="eastAsia" w:ascii="宋体" w:hAnsi="宋体" w:eastAsia="宋体" w:cs="宋体"/>
          <w:sz w:val="24"/>
          <w:szCs w:val="24"/>
        </w:rPr>
        <w:t>中标人的确定：</w:t>
      </w:r>
      <w:r>
        <w:rPr>
          <w:rFonts w:hint="eastAsia" w:ascii="宋体" w:hAnsi="宋体" w:eastAsia="宋体" w:cs="宋体"/>
          <w:sz w:val="24"/>
          <w:szCs w:val="24"/>
          <w:lang w:val="zh-CN" w:eastAsia="zh-CN"/>
        </w:rPr>
        <w:t>根据评标委员会评标得分由高到低排序产生3名中标候选人，得分最高为中标人，如中标人放弃中标，招标人可以依序确定其他中标候选人为中标人。</w:t>
      </w:r>
    </w:p>
    <w:p w14:paraId="4975F67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8</w:t>
      </w:r>
      <w:r>
        <w:rPr>
          <w:rFonts w:hint="eastAsia" w:ascii="宋体" w:hAnsi="宋体" w:eastAsia="宋体" w:cs="宋体"/>
          <w:sz w:val="24"/>
          <w:szCs w:val="24"/>
        </w:rPr>
        <w:t>.</w:t>
      </w:r>
      <w:r>
        <w:rPr>
          <w:rFonts w:hint="eastAsia" w:ascii="宋体" w:hAnsi="宋体" w:eastAsia="宋体" w:cs="宋体"/>
          <w:sz w:val="24"/>
          <w:szCs w:val="24"/>
          <w:lang w:val="en-US" w:eastAsia="zh-CN"/>
        </w:rPr>
        <w:t>已获取投标资格的投标人，无故不参加投标的，投标保证金不予与退还并将相关情况报送到行业主管部门，进行惩戒。</w:t>
      </w:r>
    </w:p>
    <w:p w14:paraId="14C68D3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九、投标申请人资格审核时需提供的材料：</w:t>
      </w:r>
    </w:p>
    <w:p w14:paraId="678E09A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1.《工商营业执照》（经年审合格）副本复印件；</w:t>
      </w:r>
    </w:p>
    <w:p w14:paraId="25AC214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2.法定代表人身份证复印件。如属法定代表人授权的需提供法定代表人委托书原件及代理人身份证复印件；</w:t>
      </w:r>
    </w:p>
    <w:p w14:paraId="2CF19BD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3.提供拟委派项目经理近3个月的社保证明、资格证书（证书原件需带到报名现场备查）及简历；</w:t>
      </w:r>
    </w:p>
    <w:p w14:paraId="512F68D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zh-CN" w:eastAsia="zh-CN"/>
        </w:rPr>
        <w:t>4.提供符合招标要求的相应证明材料。所有复印件需加盖报名单位公章，并将以上资料装订成册，上述资料有任何一项缺漏的，将视作不合格投标申请人</w:t>
      </w:r>
      <w:r>
        <w:rPr>
          <w:rFonts w:hint="eastAsia" w:ascii="宋体" w:hAnsi="宋体" w:eastAsia="宋体" w:cs="宋体"/>
          <w:sz w:val="24"/>
          <w:szCs w:val="24"/>
          <w:lang w:val="en-US" w:eastAsia="zh-CN"/>
        </w:rPr>
        <w:t>。</w:t>
      </w:r>
    </w:p>
    <w:p w14:paraId="62E5BC9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十、联系事项：</w:t>
      </w:r>
    </w:p>
    <w:p w14:paraId="1F4035B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招标单位：</w:t>
      </w:r>
      <w:r>
        <w:rPr>
          <w:rFonts w:hint="eastAsia" w:ascii="宋体" w:hAnsi="宋体" w:eastAsia="宋体" w:cs="宋体"/>
          <w:sz w:val="24"/>
          <w:szCs w:val="24"/>
          <w:lang w:eastAsia="zh-CN"/>
        </w:rPr>
        <w:t>昆山市张浦镇舜江浅水湾小区第一届物业管理委员会</w:t>
      </w:r>
    </w:p>
    <w:p w14:paraId="7BD8D44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招标单位联系人：</w:t>
      </w:r>
      <w:r>
        <w:rPr>
          <w:rFonts w:hint="eastAsia" w:ascii="宋体" w:hAnsi="宋体" w:eastAsia="宋体" w:cs="宋体"/>
          <w:sz w:val="24"/>
          <w:szCs w:val="24"/>
          <w:lang w:val="en-US" w:eastAsia="zh-CN"/>
        </w:rPr>
        <w:t xml:space="preserve">施耀晨      </w:t>
      </w:r>
      <w:r>
        <w:rPr>
          <w:rFonts w:hint="eastAsia" w:ascii="宋体" w:hAnsi="宋体" w:eastAsia="宋体" w:cs="宋体"/>
          <w:sz w:val="24"/>
          <w:szCs w:val="24"/>
        </w:rPr>
        <w:t>联系电话：0512-</w:t>
      </w:r>
      <w:r>
        <w:rPr>
          <w:rFonts w:hint="eastAsia" w:ascii="宋体" w:hAnsi="宋体" w:eastAsia="宋体" w:cs="宋体"/>
          <w:sz w:val="24"/>
          <w:szCs w:val="24"/>
          <w:lang w:val="en-US" w:eastAsia="zh-CN"/>
        </w:rPr>
        <w:t xml:space="preserve">57441175    </w:t>
      </w:r>
    </w:p>
    <w:p w14:paraId="77544C3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招标代理公司：</w:t>
      </w:r>
      <w:r>
        <w:rPr>
          <w:rFonts w:hint="eastAsia" w:ascii="宋体" w:hAnsi="宋体" w:eastAsia="宋体" w:cs="宋体"/>
          <w:sz w:val="24"/>
          <w:szCs w:val="24"/>
          <w:lang w:eastAsia="zh-CN"/>
        </w:rPr>
        <w:t>昆山新忠健项目管理有限公司</w:t>
      </w:r>
    </w:p>
    <w:p w14:paraId="1F35812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招标代理联系人：</w:t>
      </w:r>
      <w:r>
        <w:rPr>
          <w:rFonts w:hint="eastAsia" w:ascii="宋体" w:hAnsi="宋体" w:eastAsia="宋体" w:cs="宋体"/>
          <w:sz w:val="24"/>
          <w:szCs w:val="24"/>
          <w:lang w:val="en-US" w:eastAsia="zh-CN"/>
        </w:rPr>
        <w:t xml:space="preserve">马骏     </w:t>
      </w:r>
      <w:r>
        <w:rPr>
          <w:rFonts w:hint="eastAsia" w:ascii="宋体" w:hAnsi="宋体" w:eastAsia="宋体" w:cs="宋体"/>
          <w:sz w:val="24"/>
          <w:szCs w:val="24"/>
        </w:rPr>
        <w:t>联系电话：</w:t>
      </w:r>
      <w:r>
        <w:rPr>
          <w:rFonts w:hint="eastAsia" w:ascii="宋体" w:hAnsi="宋体" w:eastAsia="宋体" w:cs="宋体"/>
          <w:sz w:val="24"/>
          <w:szCs w:val="24"/>
          <w:lang w:val="en-US" w:eastAsia="zh-CN"/>
        </w:rPr>
        <w:t>13616281031</w:t>
      </w:r>
    </w:p>
    <w:p w14:paraId="2057440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招标监管部门：</w:t>
      </w:r>
      <w:r>
        <w:rPr>
          <w:rFonts w:hint="eastAsia" w:ascii="宋体" w:hAnsi="宋体" w:eastAsia="宋体" w:cs="宋体"/>
          <w:sz w:val="24"/>
          <w:szCs w:val="24"/>
          <w:lang w:val="en-US" w:eastAsia="zh-CN"/>
        </w:rPr>
        <w:t>张浦</w:t>
      </w:r>
      <w:r>
        <w:rPr>
          <w:rFonts w:hint="eastAsia" w:ascii="宋体" w:hAnsi="宋体" w:eastAsia="宋体" w:cs="宋体"/>
          <w:sz w:val="24"/>
          <w:szCs w:val="24"/>
        </w:rPr>
        <w:t>社区居民委员会</w:t>
      </w:r>
    </w:p>
    <w:p w14:paraId="75E89799">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张浦镇建设管理办公室</w:t>
      </w:r>
    </w:p>
    <w:p w14:paraId="26BFE7B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招标监管联系人：</w:t>
      </w:r>
      <w:r>
        <w:rPr>
          <w:rFonts w:hint="eastAsia" w:ascii="宋体" w:hAnsi="宋体" w:eastAsia="宋体" w:cs="宋体"/>
          <w:sz w:val="24"/>
          <w:szCs w:val="24"/>
          <w:lang w:eastAsia="zh-CN"/>
        </w:rPr>
        <w:t>吴国军</w:t>
      </w:r>
      <w:r>
        <w:rPr>
          <w:rFonts w:hint="eastAsia" w:ascii="宋体" w:hAnsi="宋体" w:eastAsia="宋体" w:cs="宋体"/>
          <w:sz w:val="24"/>
          <w:szCs w:val="24"/>
        </w:rPr>
        <w:t>    联系电话：0512-57</w:t>
      </w:r>
      <w:r>
        <w:rPr>
          <w:rFonts w:hint="eastAsia" w:ascii="宋体" w:hAnsi="宋体" w:eastAsia="宋体" w:cs="宋体"/>
          <w:sz w:val="24"/>
          <w:szCs w:val="24"/>
          <w:lang w:val="en-US" w:eastAsia="zh-CN"/>
        </w:rPr>
        <w:t>441175</w:t>
      </w:r>
    </w:p>
    <w:p w14:paraId="4BE954D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顾  敏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联系电话：0512-36803631</w:t>
      </w:r>
    </w:p>
    <w:p w14:paraId="40294F0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lang w:val="en-US" w:eastAsia="zh-CN"/>
        </w:rPr>
      </w:pPr>
    </w:p>
    <w:p w14:paraId="2B278E8C">
      <w:pPr>
        <w:keepNext w:val="0"/>
        <w:keepLines w:val="0"/>
        <w:pageBreakBefore w:val="0"/>
        <w:widowControl w:val="0"/>
        <w:kinsoku/>
        <w:wordWrap/>
        <w:overflowPunct/>
        <w:topLinePunct w:val="0"/>
        <w:autoSpaceDE/>
        <w:autoSpaceDN/>
        <w:bidi w:val="0"/>
        <w:adjustRightInd/>
        <w:snapToGrid/>
        <w:ind w:firstLine="480" w:firstLineChars="200"/>
        <w:jc w:val="righ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昆山市张浦镇舜江浅水湾小区第一届物业管理委员会</w:t>
      </w:r>
    </w:p>
    <w:p w14:paraId="54F47CB8">
      <w:pPr>
        <w:keepNext w:val="0"/>
        <w:keepLines w:val="0"/>
        <w:pageBreakBefore w:val="0"/>
        <w:widowControl w:val="0"/>
        <w:kinsoku/>
        <w:wordWrap/>
        <w:overflowPunct/>
        <w:topLinePunct w:val="0"/>
        <w:autoSpaceDE/>
        <w:autoSpaceDN/>
        <w:bidi w:val="0"/>
        <w:adjustRightInd/>
        <w:snapToGrid/>
        <w:ind w:firstLine="480" w:firstLineChars="200"/>
        <w:jc w:val="right"/>
        <w:textAlignment w:val="auto"/>
        <w:rPr>
          <w:rFonts w:hint="eastAsia" w:ascii="仿宋" w:hAnsi="仿宋" w:eastAsia="仿宋" w:cs="仿宋"/>
          <w:i w:val="0"/>
          <w:iCs w:val="0"/>
          <w:caps w:val="0"/>
          <w:color w:val="000000"/>
          <w:spacing w:val="7"/>
          <w:sz w:val="28"/>
          <w:szCs w:val="28"/>
          <w:highlight w:val="none"/>
          <w:shd w:val="clear" w:fill="FFFFFF"/>
        </w:rPr>
        <w:sectPr>
          <w:pgSz w:w="11906" w:h="16838"/>
          <w:pgMar w:top="1440" w:right="1080" w:bottom="1440" w:left="1080" w:header="851" w:footer="992" w:gutter="0"/>
          <w:cols w:space="425" w:num="1"/>
          <w:docGrid w:type="lines" w:linePitch="312" w:charSpace="0"/>
        </w:sectPr>
      </w:pPr>
      <w:r>
        <w:rPr>
          <w:rFonts w:hint="eastAsia" w:ascii="宋体" w:hAnsi="宋体" w:eastAsia="宋体" w:cs="宋体"/>
          <w:sz w:val="24"/>
          <w:szCs w:val="24"/>
        </w:rPr>
        <w:t>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eastAsia="宋体" w:cs="宋体"/>
          <w:sz w:val="24"/>
          <w:szCs w:val="24"/>
          <w:lang w:val="en-US" w:eastAsia="zh-CN"/>
        </w:rPr>
        <w:t>13</w:t>
      </w:r>
      <w:bookmarkStart w:id="0" w:name="_GoBack"/>
      <w:bookmarkEnd w:id="0"/>
      <w:r>
        <w:rPr>
          <w:rFonts w:hint="eastAsia" w:ascii="宋体" w:hAnsi="宋体" w:eastAsia="宋体" w:cs="宋体"/>
          <w:sz w:val="24"/>
          <w:szCs w:val="24"/>
        </w:rPr>
        <w:t>日</w:t>
      </w:r>
    </w:p>
    <w:p w14:paraId="56E4358E">
      <w:pPr>
        <w:jc w:val="center"/>
        <w:rPr>
          <w:rFonts w:hint="default" w:asciiTheme="minorEastAsia" w:hAnsiTheme="minorEastAsia" w:eastAsiaTheme="minorEastAsia" w:cstheme="minorEastAsia"/>
          <w:kern w:val="0"/>
          <w:sz w:val="52"/>
          <w:szCs w:val="52"/>
          <w:lang w:val="en-US"/>
        </w:rPr>
      </w:pPr>
      <w:r>
        <w:rPr>
          <w:rFonts w:hint="eastAsia" w:asciiTheme="minorEastAsia" w:hAnsiTheme="minorEastAsia" w:eastAsiaTheme="minorEastAsia" w:cstheme="minorEastAsia"/>
          <w:sz w:val="52"/>
          <w:szCs w:val="52"/>
          <w:lang w:val="en-US" w:eastAsia="zh-CN"/>
        </w:rPr>
        <w:t>昆山市张浦镇舜江浅水湾花苑</w:t>
      </w:r>
    </w:p>
    <w:p w14:paraId="26425B99">
      <w:pPr>
        <w:jc w:val="center"/>
        <w:rPr>
          <w:rFonts w:hint="eastAsia" w:asciiTheme="minorEastAsia" w:hAnsiTheme="minorEastAsia" w:eastAsiaTheme="minorEastAsia" w:cstheme="minorEastAsia"/>
          <w:sz w:val="52"/>
          <w:szCs w:val="52"/>
        </w:rPr>
      </w:pPr>
    </w:p>
    <w:p w14:paraId="575627F3">
      <w:pPr>
        <w:jc w:val="center"/>
        <w:rPr>
          <w:rFonts w:hint="eastAsia" w:asciiTheme="minorEastAsia" w:hAnsiTheme="minorEastAsia" w:eastAsiaTheme="minorEastAsia" w:cstheme="minorEastAsia"/>
          <w:sz w:val="52"/>
          <w:szCs w:val="52"/>
        </w:rPr>
      </w:pPr>
      <w:r>
        <w:rPr>
          <w:rFonts w:hint="eastAsia" w:asciiTheme="minorEastAsia" w:hAnsiTheme="minorEastAsia" w:eastAsiaTheme="minorEastAsia" w:cstheme="minorEastAsia"/>
          <w:sz w:val="52"/>
          <w:szCs w:val="52"/>
        </w:rPr>
        <w:t>物</w:t>
      </w:r>
    </w:p>
    <w:p w14:paraId="036F334B">
      <w:pPr>
        <w:jc w:val="center"/>
        <w:rPr>
          <w:rFonts w:hint="eastAsia" w:asciiTheme="minorEastAsia" w:hAnsiTheme="minorEastAsia" w:eastAsiaTheme="minorEastAsia" w:cstheme="minorEastAsia"/>
          <w:sz w:val="52"/>
          <w:szCs w:val="52"/>
        </w:rPr>
      </w:pPr>
      <w:r>
        <w:rPr>
          <w:rFonts w:hint="eastAsia" w:asciiTheme="minorEastAsia" w:hAnsiTheme="minorEastAsia" w:eastAsiaTheme="minorEastAsia" w:cstheme="minorEastAsia"/>
          <w:sz w:val="52"/>
          <w:szCs w:val="52"/>
        </w:rPr>
        <w:t>业</w:t>
      </w:r>
    </w:p>
    <w:p w14:paraId="2FC62295">
      <w:pPr>
        <w:jc w:val="center"/>
        <w:rPr>
          <w:rFonts w:hint="eastAsia" w:asciiTheme="minorEastAsia" w:hAnsiTheme="minorEastAsia" w:eastAsiaTheme="minorEastAsia" w:cstheme="minorEastAsia"/>
          <w:sz w:val="52"/>
          <w:szCs w:val="52"/>
        </w:rPr>
      </w:pPr>
      <w:r>
        <w:rPr>
          <w:rFonts w:hint="eastAsia" w:asciiTheme="minorEastAsia" w:hAnsiTheme="minorEastAsia" w:eastAsiaTheme="minorEastAsia" w:cstheme="minorEastAsia"/>
          <w:sz w:val="52"/>
          <w:szCs w:val="52"/>
        </w:rPr>
        <w:t>投</w:t>
      </w:r>
    </w:p>
    <w:p w14:paraId="5BFDB165">
      <w:pPr>
        <w:jc w:val="center"/>
        <w:rPr>
          <w:rFonts w:hint="eastAsia" w:asciiTheme="minorEastAsia" w:hAnsiTheme="minorEastAsia" w:eastAsiaTheme="minorEastAsia" w:cstheme="minorEastAsia"/>
          <w:sz w:val="52"/>
          <w:szCs w:val="52"/>
        </w:rPr>
      </w:pPr>
      <w:r>
        <w:rPr>
          <w:rFonts w:hint="eastAsia" w:asciiTheme="minorEastAsia" w:hAnsiTheme="minorEastAsia" w:eastAsiaTheme="minorEastAsia" w:cstheme="minorEastAsia"/>
          <w:sz w:val="52"/>
          <w:szCs w:val="52"/>
        </w:rPr>
        <w:t>标</w:t>
      </w:r>
    </w:p>
    <w:p w14:paraId="285212BF">
      <w:pPr>
        <w:jc w:val="center"/>
        <w:rPr>
          <w:rFonts w:hint="eastAsia" w:asciiTheme="minorEastAsia" w:hAnsiTheme="minorEastAsia" w:eastAsiaTheme="minorEastAsia" w:cstheme="minorEastAsia"/>
          <w:sz w:val="52"/>
          <w:szCs w:val="52"/>
        </w:rPr>
      </w:pPr>
      <w:r>
        <w:rPr>
          <w:rFonts w:hint="eastAsia" w:asciiTheme="minorEastAsia" w:hAnsiTheme="minorEastAsia" w:eastAsiaTheme="minorEastAsia" w:cstheme="minorEastAsia"/>
          <w:sz w:val="52"/>
          <w:szCs w:val="52"/>
        </w:rPr>
        <w:t>报</w:t>
      </w:r>
    </w:p>
    <w:p w14:paraId="040C078C">
      <w:pPr>
        <w:jc w:val="center"/>
        <w:rPr>
          <w:rFonts w:hint="eastAsia" w:asciiTheme="minorEastAsia" w:hAnsiTheme="minorEastAsia" w:eastAsiaTheme="minorEastAsia" w:cstheme="minorEastAsia"/>
          <w:sz w:val="52"/>
          <w:szCs w:val="52"/>
        </w:rPr>
      </w:pPr>
      <w:r>
        <w:rPr>
          <w:rFonts w:hint="eastAsia" w:asciiTheme="minorEastAsia" w:hAnsiTheme="minorEastAsia" w:eastAsiaTheme="minorEastAsia" w:cstheme="minorEastAsia"/>
          <w:sz w:val="52"/>
          <w:szCs w:val="52"/>
        </w:rPr>
        <w:t>名</w:t>
      </w:r>
    </w:p>
    <w:p w14:paraId="789E0376">
      <w:pPr>
        <w:jc w:val="center"/>
        <w:rPr>
          <w:rFonts w:hint="eastAsia" w:asciiTheme="minorEastAsia" w:hAnsiTheme="minorEastAsia" w:eastAsiaTheme="minorEastAsia" w:cstheme="minorEastAsia"/>
          <w:sz w:val="52"/>
          <w:szCs w:val="52"/>
        </w:rPr>
      </w:pPr>
      <w:r>
        <w:rPr>
          <w:rFonts w:hint="eastAsia" w:asciiTheme="minorEastAsia" w:hAnsiTheme="minorEastAsia" w:eastAsiaTheme="minorEastAsia" w:cstheme="minorEastAsia"/>
          <w:sz w:val="52"/>
          <w:szCs w:val="52"/>
        </w:rPr>
        <w:t>材</w:t>
      </w:r>
    </w:p>
    <w:p w14:paraId="4CBD0E4C">
      <w:pPr>
        <w:jc w:val="center"/>
        <w:rPr>
          <w:rFonts w:hint="eastAsia" w:asciiTheme="minorEastAsia" w:hAnsiTheme="minorEastAsia" w:eastAsiaTheme="minorEastAsia" w:cstheme="minorEastAsia"/>
          <w:sz w:val="52"/>
          <w:szCs w:val="52"/>
        </w:rPr>
      </w:pPr>
      <w:r>
        <w:rPr>
          <w:rFonts w:hint="eastAsia" w:asciiTheme="minorEastAsia" w:hAnsiTheme="minorEastAsia" w:eastAsiaTheme="minorEastAsia" w:cstheme="minorEastAsia"/>
          <w:sz w:val="52"/>
          <w:szCs w:val="52"/>
        </w:rPr>
        <w:t>料</w:t>
      </w:r>
    </w:p>
    <w:p w14:paraId="7DF2326D">
      <w:pPr>
        <w:ind w:firstLine="3680" w:firstLineChars="1150"/>
        <w:rPr>
          <w:rFonts w:hint="eastAsia" w:asciiTheme="minorEastAsia" w:hAnsiTheme="minorEastAsia" w:eastAsiaTheme="minorEastAsia" w:cstheme="minorEastAsia"/>
          <w:sz w:val="32"/>
          <w:szCs w:val="32"/>
        </w:rPr>
      </w:pPr>
    </w:p>
    <w:p w14:paraId="77D47409">
      <w:pPr>
        <w:ind w:firstLine="3680" w:firstLineChars="1150"/>
        <w:rPr>
          <w:rFonts w:hint="eastAsia" w:asciiTheme="minorEastAsia" w:hAnsiTheme="minorEastAsia" w:eastAsiaTheme="minorEastAsia" w:cstheme="minorEastAsia"/>
          <w:sz w:val="32"/>
          <w:szCs w:val="32"/>
        </w:rPr>
      </w:pPr>
    </w:p>
    <w:p w14:paraId="7A96CB1D">
      <w:pPr>
        <w:ind w:firstLine="5920" w:firstLineChars="185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公司（盖章）</w:t>
      </w:r>
    </w:p>
    <w:p w14:paraId="287D5CCB">
      <w:pPr>
        <w:ind w:firstLine="5920" w:firstLineChars="185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年    月    日</w:t>
      </w:r>
    </w:p>
    <w:p w14:paraId="6BCC12E2">
      <w:p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联系人：</w:t>
      </w:r>
    </w:p>
    <w:p w14:paraId="07D6F06C">
      <w:pP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联系电话：</w:t>
      </w:r>
    </w:p>
    <w:p w14:paraId="32B012F8">
      <w:pPr>
        <w:rPr>
          <w:rFonts w:hint="eastAsia" w:asciiTheme="minorEastAsia" w:hAnsiTheme="minorEastAsia" w:eastAsiaTheme="minorEastAsia" w:cstheme="minorEastAsia"/>
          <w:sz w:val="32"/>
          <w:szCs w:val="32"/>
        </w:rPr>
        <w:sectPr>
          <w:pgSz w:w="11906" w:h="16838"/>
          <w:pgMar w:top="1134" w:right="1134" w:bottom="1134" w:left="1134" w:header="851" w:footer="992" w:gutter="0"/>
          <w:cols w:space="425" w:num="1"/>
          <w:docGrid w:type="lines" w:linePitch="312" w:charSpace="0"/>
        </w:sectPr>
      </w:pPr>
      <w:r>
        <w:rPr>
          <w:rFonts w:hint="eastAsia" w:asciiTheme="minorEastAsia" w:hAnsiTheme="minorEastAsia" w:eastAsiaTheme="minorEastAsia" w:cstheme="minorEastAsia"/>
          <w:sz w:val="32"/>
          <w:szCs w:val="32"/>
        </w:rPr>
        <w:t>电子邮箱：</w:t>
      </w:r>
    </w:p>
    <w:p w14:paraId="7C0C88F7">
      <w:pPr>
        <w:jc w:val="center"/>
        <w:rPr>
          <w:rFonts w:hint="eastAsia" w:asciiTheme="minorEastAsia" w:hAnsiTheme="minorEastAsia" w:eastAsiaTheme="minorEastAsia" w:cstheme="minorEastAsia"/>
          <w:sz w:val="36"/>
          <w:szCs w:val="36"/>
        </w:rPr>
      </w:pPr>
      <w:r>
        <w:rPr>
          <w:rFonts w:hint="eastAsia" w:asciiTheme="minorEastAsia" w:hAnsiTheme="minorEastAsia" w:eastAsiaTheme="minorEastAsia" w:cstheme="minorEastAsia"/>
          <w:sz w:val="36"/>
          <w:szCs w:val="36"/>
        </w:rPr>
        <w:t>物业招投标报名材料明细表</w:t>
      </w:r>
    </w:p>
    <w:tbl>
      <w:tblPr>
        <w:tblStyle w:val="7"/>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40"/>
        <w:gridCol w:w="592"/>
        <w:gridCol w:w="2352"/>
        <w:gridCol w:w="2003"/>
        <w:gridCol w:w="193"/>
        <w:gridCol w:w="2460"/>
      </w:tblGrid>
      <w:tr w14:paraId="30340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exact"/>
        </w:trPr>
        <w:tc>
          <w:tcPr>
            <w:tcW w:w="1138" w:type="pct"/>
            <w:vAlign w:val="center"/>
          </w:tcPr>
          <w:p w14:paraId="343EA36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招标项目名称</w:t>
            </w:r>
          </w:p>
        </w:tc>
        <w:tc>
          <w:tcPr>
            <w:tcW w:w="1496" w:type="pct"/>
            <w:gridSpan w:val="2"/>
            <w:vAlign w:val="center"/>
          </w:tcPr>
          <w:p w14:paraId="1D17C93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tc>
        <w:tc>
          <w:tcPr>
            <w:tcW w:w="1116" w:type="pct"/>
            <w:gridSpan w:val="2"/>
            <w:vAlign w:val="center"/>
          </w:tcPr>
          <w:p w14:paraId="52FC1DD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招标报名时间</w:t>
            </w:r>
          </w:p>
        </w:tc>
        <w:tc>
          <w:tcPr>
            <w:tcW w:w="1248" w:type="pct"/>
            <w:vAlign w:val="center"/>
          </w:tcPr>
          <w:p w14:paraId="73EF742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tc>
      </w:tr>
      <w:tr w14:paraId="126C3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exact"/>
        </w:trPr>
        <w:tc>
          <w:tcPr>
            <w:tcW w:w="1138" w:type="pct"/>
            <w:vMerge w:val="restart"/>
            <w:vAlign w:val="center"/>
          </w:tcPr>
          <w:p w14:paraId="7A66517D">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报名材料内容</w:t>
            </w:r>
          </w:p>
        </w:tc>
        <w:tc>
          <w:tcPr>
            <w:tcW w:w="301" w:type="pct"/>
            <w:vAlign w:val="center"/>
          </w:tcPr>
          <w:p w14:paraId="14EAEE74">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3559" w:type="pct"/>
            <w:gridSpan w:val="4"/>
            <w:vAlign w:val="center"/>
          </w:tcPr>
          <w:p w14:paraId="4007D473">
            <w:pPr>
              <w:jc w:val="center"/>
              <w:rPr>
                <w:rFonts w:hint="eastAsia" w:asciiTheme="minorEastAsia" w:hAnsiTheme="minorEastAsia" w:eastAsiaTheme="minorEastAsia" w:cstheme="minorEastAsia"/>
                <w:sz w:val="24"/>
                <w:szCs w:val="24"/>
              </w:rPr>
            </w:pPr>
          </w:p>
        </w:tc>
      </w:tr>
      <w:tr w14:paraId="55531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138" w:type="pct"/>
            <w:vMerge w:val="continue"/>
            <w:vAlign w:val="center"/>
          </w:tcPr>
          <w:p w14:paraId="17247733">
            <w:pPr>
              <w:jc w:val="center"/>
              <w:rPr>
                <w:rFonts w:hint="eastAsia" w:asciiTheme="minorEastAsia" w:hAnsiTheme="minorEastAsia" w:eastAsiaTheme="minorEastAsia" w:cstheme="minorEastAsia"/>
                <w:sz w:val="24"/>
                <w:szCs w:val="24"/>
              </w:rPr>
            </w:pPr>
          </w:p>
        </w:tc>
        <w:tc>
          <w:tcPr>
            <w:tcW w:w="301" w:type="pct"/>
            <w:vAlign w:val="center"/>
          </w:tcPr>
          <w:p w14:paraId="1567576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3559" w:type="pct"/>
            <w:gridSpan w:val="4"/>
            <w:vAlign w:val="center"/>
          </w:tcPr>
          <w:p w14:paraId="7AF4DBA4">
            <w:pPr>
              <w:jc w:val="center"/>
              <w:rPr>
                <w:rFonts w:hint="eastAsia" w:asciiTheme="minorEastAsia" w:hAnsiTheme="minorEastAsia" w:eastAsiaTheme="minorEastAsia" w:cstheme="minorEastAsia"/>
                <w:sz w:val="24"/>
                <w:szCs w:val="24"/>
              </w:rPr>
            </w:pPr>
          </w:p>
        </w:tc>
      </w:tr>
      <w:tr w14:paraId="6D81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1138" w:type="pct"/>
            <w:vMerge w:val="continue"/>
            <w:vAlign w:val="center"/>
          </w:tcPr>
          <w:p w14:paraId="4747E101">
            <w:pPr>
              <w:jc w:val="center"/>
              <w:rPr>
                <w:rFonts w:hint="eastAsia" w:asciiTheme="minorEastAsia" w:hAnsiTheme="minorEastAsia" w:eastAsiaTheme="minorEastAsia" w:cstheme="minorEastAsia"/>
                <w:sz w:val="24"/>
                <w:szCs w:val="24"/>
              </w:rPr>
            </w:pPr>
          </w:p>
        </w:tc>
        <w:tc>
          <w:tcPr>
            <w:tcW w:w="301" w:type="pct"/>
            <w:vAlign w:val="center"/>
          </w:tcPr>
          <w:p w14:paraId="4F67DAB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3559" w:type="pct"/>
            <w:gridSpan w:val="4"/>
            <w:vAlign w:val="center"/>
          </w:tcPr>
          <w:p w14:paraId="68AD86BD">
            <w:pPr>
              <w:jc w:val="center"/>
              <w:rPr>
                <w:rFonts w:hint="eastAsia" w:asciiTheme="minorEastAsia" w:hAnsiTheme="minorEastAsia" w:eastAsiaTheme="minorEastAsia" w:cstheme="minorEastAsia"/>
                <w:sz w:val="24"/>
                <w:szCs w:val="24"/>
              </w:rPr>
            </w:pPr>
          </w:p>
        </w:tc>
      </w:tr>
      <w:tr w14:paraId="5511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exact"/>
        </w:trPr>
        <w:tc>
          <w:tcPr>
            <w:tcW w:w="1138" w:type="pct"/>
            <w:vMerge w:val="continue"/>
            <w:vAlign w:val="center"/>
          </w:tcPr>
          <w:p w14:paraId="1AEF156C">
            <w:pPr>
              <w:jc w:val="center"/>
              <w:rPr>
                <w:rFonts w:hint="eastAsia" w:asciiTheme="minorEastAsia" w:hAnsiTheme="minorEastAsia" w:eastAsiaTheme="minorEastAsia" w:cstheme="minorEastAsia"/>
                <w:sz w:val="24"/>
                <w:szCs w:val="24"/>
              </w:rPr>
            </w:pPr>
          </w:p>
        </w:tc>
        <w:tc>
          <w:tcPr>
            <w:tcW w:w="301" w:type="pct"/>
            <w:vAlign w:val="center"/>
          </w:tcPr>
          <w:p w14:paraId="1F81ED6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w:t>
            </w:r>
          </w:p>
        </w:tc>
        <w:tc>
          <w:tcPr>
            <w:tcW w:w="3559" w:type="pct"/>
            <w:gridSpan w:val="4"/>
            <w:vAlign w:val="center"/>
          </w:tcPr>
          <w:p w14:paraId="5E52DA3F">
            <w:pPr>
              <w:jc w:val="center"/>
              <w:rPr>
                <w:rFonts w:hint="eastAsia" w:asciiTheme="minorEastAsia" w:hAnsiTheme="minorEastAsia" w:eastAsiaTheme="minorEastAsia" w:cstheme="minorEastAsia"/>
                <w:sz w:val="24"/>
                <w:szCs w:val="24"/>
              </w:rPr>
            </w:pPr>
          </w:p>
        </w:tc>
      </w:tr>
      <w:tr w14:paraId="3478C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1138" w:type="pct"/>
            <w:vMerge w:val="continue"/>
            <w:vAlign w:val="center"/>
          </w:tcPr>
          <w:p w14:paraId="3268915C">
            <w:pPr>
              <w:jc w:val="center"/>
              <w:rPr>
                <w:rFonts w:hint="eastAsia" w:asciiTheme="minorEastAsia" w:hAnsiTheme="minorEastAsia" w:eastAsiaTheme="minorEastAsia" w:cstheme="minorEastAsia"/>
                <w:sz w:val="24"/>
                <w:szCs w:val="24"/>
              </w:rPr>
            </w:pPr>
          </w:p>
        </w:tc>
        <w:tc>
          <w:tcPr>
            <w:tcW w:w="301" w:type="pct"/>
            <w:vAlign w:val="center"/>
          </w:tcPr>
          <w:p w14:paraId="7F5AF8F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w:t>
            </w:r>
          </w:p>
        </w:tc>
        <w:tc>
          <w:tcPr>
            <w:tcW w:w="3559" w:type="pct"/>
            <w:gridSpan w:val="4"/>
            <w:vAlign w:val="center"/>
          </w:tcPr>
          <w:p w14:paraId="0667B3D6">
            <w:pPr>
              <w:jc w:val="center"/>
              <w:rPr>
                <w:rFonts w:hint="eastAsia" w:asciiTheme="minorEastAsia" w:hAnsiTheme="minorEastAsia" w:eastAsiaTheme="minorEastAsia" w:cstheme="minorEastAsia"/>
                <w:sz w:val="24"/>
                <w:szCs w:val="24"/>
              </w:rPr>
            </w:pPr>
          </w:p>
        </w:tc>
      </w:tr>
      <w:tr w14:paraId="4DE85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1138" w:type="pct"/>
            <w:vMerge w:val="continue"/>
            <w:vAlign w:val="center"/>
          </w:tcPr>
          <w:p w14:paraId="106B0282">
            <w:pPr>
              <w:jc w:val="center"/>
              <w:rPr>
                <w:rFonts w:hint="eastAsia" w:asciiTheme="minorEastAsia" w:hAnsiTheme="minorEastAsia" w:eastAsiaTheme="minorEastAsia" w:cstheme="minorEastAsia"/>
                <w:sz w:val="24"/>
                <w:szCs w:val="24"/>
              </w:rPr>
            </w:pPr>
          </w:p>
        </w:tc>
        <w:tc>
          <w:tcPr>
            <w:tcW w:w="301" w:type="pct"/>
            <w:vAlign w:val="center"/>
          </w:tcPr>
          <w:p w14:paraId="6A2B0FF6">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6</w:t>
            </w:r>
          </w:p>
        </w:tc>
        <w:tc>
          <w:tcPr>
            <w:tcW w:w="3559" w:type="pct"/>
            <w:gridSpan w:val="4"/>
            <w:vAlign w:val="center"/>
          </w:tcPr>
          <w:p w14:paraId="6B4DB304">
            <w:pPr>
              <w:jc w:val="center"/>
              <w:rPr>
                <w:rFonts w:hint="eastAsia" w:asciiTheme="minorEastAsia" w:hAnsiTheme="minorEastAsia" w:eastAsiaTheme="minorEastAsia" w:cstheme="minorEastAsia"/>
                <w:sz w:val="24"/>
                <w:szCs w:val="24"/>
              </w:rPr>
            </w:pPr>
          </w:p>
        </w:tc>
      </w:tr>
      <w:tr w14:paraId="674B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1138" w:type="pct"/>
            <w:vMerge w:val="continue"/>
            <w:vAlign w:val="center"/>
          </w:tcPr>
          <w:p w14:paraId="3F3FF8FE">
            <w:pPr>
              <w:jc w:val="center"/>
              <w:rPr>
                <w:rFonts w:hint="eastAsia" w:asciiTheme="minorEastAsia" w:hAnsiTheme="minorEastAsia" w:eastAsiaTheme="minorEastAsia" w:cstheme="minorEastAsia"/>
                <w:sz w:val="24"/>
                <w:szCs w:val="24"/>
              </w:rPr>
            </w:pPr>
          </w:p>
        </w:tc>
        <w:tc>
          <w:tcPr>
            <w:tcW w:w="301" w:type="pct"/>
            <w:vAlign w:val="center"/>
          </w:tcPr>
          <w:p w14:paraId="12F63AC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7</w:t>
            </w:r>
          </w:p>
        </w:tc>
        <w:tc>
          <w:tcPr>
            <w:tcW w:w="3559" w:type="pct"/>
            <w:gridSpan w:val="4"/>
            <w:vAlign w:val="center"/>
          </w:tcPr>
          <w:p w14:paraId="2201C42B">
            <w:pPr>
              <w:jc w:val="center"/>
              <w:rPr>
                <w:rFonts w:hint="eastAsia" w:asciiTheme="minorEastAsia" w:hAnsiTheme="minorEastAsia" w:eastAsiaTheme="minorEastAsia" w:cstheme="minorEastAsia"/>
                <w:sz w:val="24"/>
                <w:szCs w:val="24"/>
              </w:rPr>
            </w:pPr>
          </w:p>
        </w:tc>
      </w:tr>
      <w:tr w14:paraId="24F5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1138" w:type="pct"/>
            <w:vMerge w:val="continue"/>
            <w:vAlign w:val="center"/>
          </w:tcPr>
          <w:p w14:paraId="01EB4704">
            <w:pPr>
              <w:jc w:val="center"/>
              <w:rPr>
                <w:rFonts w:hint="eastAsia" w:asciiTheme="minorEastAsia" w:hAnsiTheme="minorEastAsia" w:eastAsiaTheme="minorEastAsia" w:cstheme="minorEastAsia"/>
                <w:sz w:val="24"/>
                <w:szCs w:val="24"/>
              </w:rPr>
            </w:pPr>
          </w:p>
        </w:tc>
        <w:tc>
          <w:tcPr>
            <w:tcW w:w="301" w:type="pct"/>
            <w:vAlign w:val="center"/>
          </w:tcPr>
          <w:p w14:paraId="762DEA43">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8</w:t>
            </w:r>
          </w:p>
        </w:tc>
        <w:tc>
          <w:tcPr>
            <w:tcW w:w="3559" w:type="pct"/>
            <w:gridSpan w:val="4"/>
            <w:vAlign w:val="center"/>
          </w:tcPr>
          <w:p w14:paraId="2D5A7398">
            <w:pPr>
              <w:jc w:val="center"/>
              <w:rPr>
                <w:rFonts w:hint="eastAsia" w:asciiTheme="minorEastAsia" w:hAnsiTheme="minorEastAsia" w:eastAsiaTheme="minorEastAsia" w:cstheme="minorEastAsia"/>
                <w:sz w:val="24"/>
                <w:szCs w:val="24"/>
              </w:rPr>
            </w:pPr>
          </w:p>
        </w:tc>
      </w:tr>
      <w:tr w14:paraId="172B2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1138" w:type="pct"/>
            <w:vMerge w:val="continue"/>
            <w:vAlign w:val="center"/>
          </w:tcPr>
          <w:p w14:paraId="7BECCBED">
            <w:pPr>
              <w:jc w:val="center"/>
              <w:rPr>
                <w:rFonts w:hint="eastAsia" w:asciiTheme="minorEastAsia" w:hAnsiTheme="minorEastAsia" w:eastAsiaTheme="minorEastAsia" w:cstheme="minorEastAsia"/>
                <w:sz w:val="24"/>
                <w:szCs w:val="24"/>
              </w:rPr>
            </w:pPr>
          </w:p>
        </w:tc>
        <w:tc>
          <w:tcPr>
            <w:tcW w:w="301" w:type="pct"/>
            <w:vAlign w:val="center"/>
          </w:tcPr>
          <w:p w14:paraId="058E14AC">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9</w:t>
            </w:r>
          </w:p>
        </w:tc>
        <w:tc>
          <w:tcPr>
            <w:tcW w:w="3559" w:type="pct"/>
            <w:gridSpan w:val="4"/>
            <w:vAlign w:val="center"/>
          </w:tcPr>
          <w:p w14:paraId="647C7F72">
            <w:pPr>
              <w:jc w:val="center"/>
              <w:rPr>
                <w:rFonts w:hint="eastAsia" w:asciiTheme="minorEastAsia" w:hAnsiTheme="minorEastAsia" w:eastAsiaTheme="minorEastAsia" w:cstheme="minorEastAsia"/>
                <w:sz w:val="24"/>
                <w:szCs w:val="24"/>
              </w:rPr>
            </w:pPr>
          </w:p>
        </w:tc>
      </w:tr>
      <w:tr w14:paraId="49610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1138" w:type="pct"/>
            <w:vMerge w:val="continue"/>
            <w:vAlign w:val="center"/>
          </w:tcPr>
          <w:p w14:paraId="68EAD08A">
            <w:pPr>
              <w:jc w:val="center"/>
              <w:rPr>
                <w:rFonts w:hint="eastAsia" w:asciiTheme="minorEastAsia" w:hAnsiTheme="minorEastAsia" w:eastAsiaTheme="minorEastAsia" w:cstheme="minorEastAsia"/>
                <w:sz w:val="24"/>
                <w:szCs w:val="24"/>
              </w:rPr>
            </w:pPr>
          </w:p>
        </w:tc>
        <w:tc>
          <w:tcPr>
            <w:tcW w:w="301" w:type="pct"/>
            <w:vAlign w:val="center"/>
          </w:tcPr>
          <w:p w14:paraId="0065000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3559" w:type="pct"/>
            <w:gridSpan w:val="4"/>
            <w:vAlign w:val="center"/>
          </w:tcPr>
          <w:p w14:paraId="16A68B07">
            <w:pPr>
              <w:jc w:val="center"/>
              <w:rPr>
                <w:rFonts w:hint="eastAsia" w:asciiTheme="minorEastAsia" w:hAnsiTheme="minorEastAsia" w:eastAsiaTheme="minorEastAsia" w:cstheme="minorEastAsia"/>
                <w:sz w:val="24"/>
                <w:szCs w:val="24"/>
              </w:rPr>
            </w:pPr>
          </w:p>
        </w:tc>
      </w:tr>
      <w:tr w14:paraId="313EF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1138" w:type="pct"/>
            <w:vMerge w:val="continue"/>
            <w:vAlign w:val="center"/>
          </w:tcPr>
          <w:p w14:paraId="2183DBE2">
            <w:pPr>
              <w:jc w:val="center"/>
              <w:rPr>
                <w:rFonts w:hint="eastAsia" w:asciiTheme="minorEastAsia" w:hAnsiTheme="minorEastAsia" w:eastAsiaTheme="minorEastAsia" w:cstheme="minorEastAsia"/>
                <w:sz w:val="24"/>
                <w:szCs w:val="24"/>
              </w:rPr>
            </w:pPr>
          </w:p>
        </w:tc>
        <w:tc>
          <w:tcPr>
            <w:tcW w:w="301" w:type="pct"/>
            <w:vAlign w:val="center"/>
          </w:tcPr>
          <w:p w14:paraId="166677B1">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w:t>
            </w:r>
          </w:p>
        </w:tc>
        <w:tc>
          <w:tcPr>
            <w:tcW w:w="3559" w:type="pct"/>
            <w:gridSpan w:val="4"/>
            <w:vAlign w:val="center"/>
          </w:tcPr>
          <w:p w14:paraId="6BCADB66">
            <w:pPr>
              <w:jc w:val="center"/>
              <w:rPr>
                <w:rFonts w:hint="eastAsia" w:asciiTheme="minorEastAsia" w:hAnsiTheme="minorEastAsia" w:eastAsiaTheme="minorEastAsia" w:cstheme="minorEastAsia"/>
                <w:sz w:val="24"/>
                <w:szCs w:val="24"/>
              </w:rPr>
            </w:pPr>
          </w:p>
        </w:tc>
      </w:tr>
      <w:tr w14:paraId="7784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1138" w:type="pct"/>
            <w:vMerge w:val="continue"/>
            <w:vAlign w:val="center"/>
          </w:tcPr>
          <w:p w14:paraId="6E011285">
            <w:pPr>
              <w:jc w:val="center"/>
              <w:rPr>
                <w:rFonts w:hint="eastAsia" w:asciiTheme="minorEastAsia" w:hAnsiTheme="minorEastAsia" w:eastAsiaTheme="minorEastAsia" w:cstheme="minorEastAsia"/>
                <w:sz w:val="24"/>
                <w:szCs w:val="24"/>
              </w:rPr>
            </w:pPr>
          </w:p>
        </w:tc>
        <w:tc>
          <w:tcPr>
            <w:tcW w:w="301" w:type="pct"/>
            <w:vAlign w:val="center"/>
          </w:tcPr>
          <w:p w14:paraId="600E666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w:t>
            </w:r>
          </w:p>
        </w:tc>
        <w:tc>
          <w:tcPr>
            <w:tcW w:w="3559" w:type="pct"/>
            <w:gridSpan w:val="4"/>
            <w:vAlign w:val="center"/>
          </w:tcPr>
          <w:p w14:paraId="6004D79C">
            <w:pPr>
              <w:jc w:val="center"/>
              <w:rPr>
                <w:rFonts w:hint="eastAsia" w:asciiTheme="minorEastAsia" w:hAnsiTheme="minorEastAsia" w:eastAsiaTheme="minorEastAsia" w:cstheme="minorEastAsia"/>
                <w:sz w:val="24"/>
                <w:szCs w:val="24"/>
              </w:rPr>
            </w:pPr>
          </w:p>
        </w:tc>
      </w:tr>
      <w:tr w14:paraId="30F2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1138" w:type="pct"/>
            <w:vMerge w:val="continue"/>
            <w:vAlign w:val="center"/>
          </w:tcPr>
          <w:p w14:paraId="5D257825">
            <w:pPr>
              <w:jc w:val="center"/>
              <w:rPr>
                <w:rFonts w:hint="eastAsia" w:asciiTheme="minorEastAsia" w:hAnsiTheme="minorEastAsia" w:eastAsiaTheme="minorEastAsia" w:cstheme="minorEastAsia"/>
                <w:sz w:val="24"/>
                <w:szCs w:val="24"/>
              </w:rPr>
            </w:pPr>
          </w:p>
        </w:tc>
        <w:tc>
          <w:tcPr>
            <w:tcW w:w="301" w:type="pct"/>
            <w:vAlign w:val="center"/>
          </w:tcPr>
          <w:p w14:paraId="3B6CCDFE">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w:t>
            </w:r>
          </w:p>
        </w:tc>
        <w:tc>
          <w:tcPr>
            <w:tcW w:w="3559" w:type="pct"/>
            <w:gridSpan w:val="4"/>
            <w:vAlign w:val="center"/>
          </w:tcPr>
          <w:p w14:paraId="4FE98A07">
            <w:pPr>
              <w:jc w:val="center"/>
              <w:rPr>
                <w:rFonts w:hint="eastAsia" w:asciiTheme="minorEastAsia" w:hAnsiTheme="minorEastAsia" w:eastAsiaTheme="minorEastAsia" w:cstheme="minorEastAsia"/>
                <w:sz w:val="24"/>
                <w:szCs w:val="24"/>
              </w:rPr>
            </w:pPr>
          </w:p>
        </w:tc>
      </w:tr>
      <w:tr w14:paraId="1B991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1138" w:type="pct"/>
            <w:vMerge w:val="continue"/>
            <w:vAlign w:val="center"/>
          </w:tcPr>
          <w:p w14:paraId="63C97849">
            <w:pPr>
              <w:jc w:val="center"/>
              <w:rPr>
                <w:rFonts w:hint="eastAsia" w:asciiTheme="minorEastAsia" w:hAnsiTheme="minorEastAsia" w:eastAsiaTheme="minorEastAsia" w:cstheme="minorEastAsia"/>
                <w:sz w:val="24"/>
                <w:szCs w:val="24"/>
              </w:rPr>
            </w:pPr>
          </w:p>
        </w:tc>
        <w:tc>
          <w:tcPr>
            <w:tcW w:w="301" w:type="pct"/>
            <w:vAlign w:val="center"/>
          </w:tcPr>
          <w:p w14:paraId="40614E45">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14</w:t>
            </w:r>
          </w:p>
        </w:tc>
        <w:tc>
          <w:tcPr>
            <w:tcW w:w="3559" w:type="pct"/>
            <w:gridSpan w:val="4"/>
            <w:vAlign w:val="center"/>
          </w:tcPr>
          <w:p w14:paraId="4A1D7D7A">
            <w:pPr>
              <w:jc w:val="center"/>
              <w:rPr>
                <w:rFonts w:hint="eastAsia" w:asciiTheme="minorEastAsia" w:hAnsiTheme="minorEastAsia" w:eastAsiaTheme="minorEastAsia" w:cstheme="minorEastAsia"/>
                <w:sz w:val="24"/>
                <w:szCs w:val="24"/>
              </w:rPr>
            </w:pPr>
          </w:p>
        </w:tc>
      </w:tr>
      <w:tr w14:paraId="24CE3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1138" w:type="pct"/>
            <w:vMerge w:val="continue"/>
            <w:vAlign w:val="center"/>
          </w:tcPr>
          <w:p w14:paraId="54F87B7B">
            <w:pPr>
              <w:jc w:val="center"/>
              <w:rPr>
                <w:rFonts w:hint="eastAsia" w:asciiTheme="minorEastAsia" w:hAnsiTheme="minorEastAsia" w:eastAsiaTheme="minorEastAsia" w:cstheme="minorEastAsia"/>
                <w:sz w:val="24"/>
                <w:szCs w:val="24"/>
              </w:rPr>
            </w:pPr>
          </w:p>
        </w:tc>
        <w:tc>
          <w:tcPr>
            <w:tcW w:w="301" w:type="pct"/>
            <w:vAlign w:val="center"/>
          </w:tcPr>
          <w:p w14:paraId="0B49F13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w:t>
            </w:r>
          </w:p>
        </w:tc>
        <w:tc>
          <w:tcPr>
            <w:tcW w:w="3559" w:type="pct"/>
            <w:gridSpan w:val="4"/>
            <w:vAlign w:val="center"/>
          </w:tcPr>
          <w:p w14:paraId="46A842D2">
            <w:pPr>
              <w:jc w:val="center"/>
              <w:rPr>
                <w:rFonts w:hint="eastAsia" w:asciiTheme="minorEastAsia" w:hAnsiTheme="minorEastAsia" w:eastAsiaTheme="minorEastAsia" w:cstheme="minorEastAsia"/>
                <w:sz w:val="24"/>
                <w:szCs w:val="24"/>
              </w:rPr>
            </w:pPr>
          </w:p>
        </w:tc>
      </w:tr>
      <w:tr w14:paraId="00014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5" w:hRule="exact"/>
        </w:trPr>
        <w:tc>
          <w:tcPr>
            <w:tcW w:w="5000" w:type="pct"/>
            <w:gridSpan w:val="6"/>
            <w:vAlign w:val="center"/>
          </w:tcPr>
          <w:p w14:paraId="5007FEE5">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注：报名单位需按照招标公告要求提供相应材料，入围资格由招标方审核确认，如因缺项或不符者，未进入入围名单的</w:t>
            </w:r>
            <w:r>
              <w:rPr>
                <w:rFonts w:hint="eastAsia" w:asciiTheme="minorEastAsia" w:hAnsiTheme="minorEastAsia" w:eastAsiaTheme="minorEastAsia" w:cstheme="minorEastAsia"/>
                <w:color w:val="auto"/>
                <w:sz w:val="24"/>
                <w:szCs w:val="24"/>
              </w:rPr>
              <w:t>，</w:t>
            </w:r>
            <w:r>
              <w:rPr>
                <w:rFonts w:hint="eastAsia" w:asciiTheme="minorEastAsia" w:hAnsiTheme="minorEastAsia" w:eastAsiaTheme="minorEastAsia" w:cstheme="minorEastAsia"/>
                <w:sz w:val="24"/>
                <w:szCs w:val="24"/>
              </w:rPr>
              <w:t>由报名单位自行承担。</w:t>
            </w:r>
          </w:p>
          <w:p w14:paraId="1176BA25">
            <w:pPr>
              <w:jc w:val="center"/>
              <w:rPr>
                <w:rFonts w:hint="eastAsia" w:asciiTheme="minorEastAsia" w:hAnsiTheme="minorEastAsia" w:eastAsiaTheme="minorEastAsia" w:cstheme="minorEastAsia"/>
                <w:sz w:val="24"/>
                <w:szCs w:val="24"/>
              </w:rPr>
            </w:pPr>
          </w:p>
        </w:tc>
      </w:tr>
      <w:tr w14:paraId="47C2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1138" w:type="pct"/>
            <w:vAlign w:val="center"/>
          </w:tcPr>
          <w:p w14:paraId="5D21F73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提交材料页码</w:t>
            </w:r>
          </w:p>
        </w:tc>
        <w:tc>
          <w:tcPr>
            <w:tcW w:w="1496" w:type="pct"/>
            <w:gridSpan w:val="2"/>
            <w:vAlign w:val="center"/>
          </w:tcPr>
          <w:p w14:paraId="1B527115">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共计</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页</w:t>
            </w:r>
          </w:p>
        </w:tc>
        <w:tc>
          <w:tcPr>
            <w:tcW w:w="1018" w:type="pct"/>
            <w:vAlign w:val="center"/>
          </w:tcPr>
          <w:p w14:paraId="705FE8A7">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提交时间</w:t>
            </w:r>
          </w:p>
        </w:tc>
        <w:tc>
          <w:tcPr>
            <w:tcW w:w="1346" w:type="pct"/>
            <w:gridSpan w:val="2"/>
            <w:vAlign w:val="center"/>
          </w:tcPr>
          <w:p w14:paraId="40FBE782">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eastAsiaTheme="minorEastAsia" w:cstheme="minorEastAsia"/>
                <w:sz w:val="24"/>
                <w:szCs w:val="24"/>
                <w:u w:val="single"/>
              </w:rPr>
              <w:t xml:space="preserve">  </w:t>
            </w:r>
            <w:r>
              <w:rPr>
                <w:rFonts w:hint="eastAsia" w:asciiTheme="minorEastAsia" w:hAnsiTheme="minorEastAsia" w:eastAsiaTheme="minorEastAsia" w:cstheme="minorEastAsia"/>
                <w:sz w:val="24"/>
                <w:szCs w:val="24"/>
              </w:rPr>
              <w:t>日</w:t>
            </w:r>
          </w:p>
        </w:tc>
      </w:tr>
      <w:tr w14:paraId="6F96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exact"/>
        </w:trPr>
        <w:tc>
          <w:tcPr>
            <w:tcW w:w="1138" w:type="pct"/>
            <w:vAlign w:val="center"/>
          </w:tcPr>
          <w:p w14:paraId="679F0259">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提交人姓名</w:t>
            </w:r>
          </w:p>
        </w:tc>
        <w:tc>
          <w:tcPr>
            <w:tcW w:w="1496" w:type="pct"/>
            <w:gridSpan w:val="2"/>
            <w:vAlign w:val="center"/>
          </w:tcPr>
          <w:p w14:paraId="48437848">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tc>
        <w:tc>
          <w:tcPr>
            <w:tcW w:w="1018" w:type="pct"/>
            <w:vAlign w:val="center"/>
          </w:tcPr>
          <w:p w14:paraId="103E5EEB">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提交人联系电话</w:t>
            </w:r>
          </w:p>
        </w:tc>
        <w:tc>
          <w:tcPr>
            <w:tcW w:w="1346" w:type="pct"/>
            <w:gridSpan w:val="2"/>
            <w:vAlign w:val="center"/>
          </w:tcPr>
          <w:p w14:paraId="179B219F">
            <w:pPr>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32"/>
                <w:szCs w:val="32"/>
              </w:rPr>
              <w:t xml:space="preserve"> </w:t>
            </w:r>
          </w:p>
        </w:tc>
      </w:tr>
      <w:tr w14:paraId="08499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exact"/>
        </w:trPr>
        <w:tc>
          <w:tcPr>
            <w:tcW w:w="5000" w:type="pct"/>
            <w:gridSpan w:val="6"/>
            <w:vAlign w:val="center"/>
          </w:tcPr>
          <w:p w14:paraId="3D11A578">
            <w:pPr>
              <w:jc w:val="center"/>
              <w:rPr>
                <w:rFonts w:hint="eastAsia" w:asciiTheme="minorEastAsia" w:hAnsiTheme="minorEastAsia" w:eastAsiaTheme="minorEastAsia" w:cstheme="minorEastAsia"/>
              </w:rPr>
            </w:pPr>
          </w:p>
          <w:p w14:paraId="4177BA60">
            <w:pPr>
              <w:pStyle w:val="2"/>
              <w:ind w:left="0"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我公司承诺，以上提交的报名材料等均真实、合法。如有不实之处，愿负相应的法律责任，并承担由此产生的一切后果。</w:t>
            </w:r>
          </w:p>
          <w:p w14:paraId="3BA92B94">
            <w:pPr>
              <w:pStyle w:val="2"/>
              <w:ind w:left="0"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报名单位盖章：</w:t>
            </w:r>
          </w:p>
          <w:p w14:paraId="2701BADB">
            <w:pPr>
              <w:pStyle w:val="2"/>
              <w:ind w:left="0" w:left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日期：20</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年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 日</w:t>
            </w:r>
          </w:p>
          <w:p w14:paraId="7986BD48">
            <w:pPr>
              <w:pStyle w:val="2"/>
              <w:ind w:left="0" w:leftChars="0"/>
              <w:rPr>
                <w:rFonts w:hint="eastAsia" w:asciiTheme="minorEastAsia" w:hAnsiTheme="minorEastAsia" w:eastAsiaTheme="minorEastAsia" w:cstheme="minorEastAsia"/>
                <w:sz w:val="24"/>
                <w:szCs w:val="24"/>
              </w:rPr>
            </w:pPr>
          </w:p>
          <w:p w14:paraId="62E9CFD5">
            <w:pPr>
              <w:pStyle w:val="2"/>
              <w:ind w:left="0" w:leftChars="0"/>
              <w:rPr>
                <w:rFonts w:hint="eastAsia" w:asciiTheme="minorEastAsia" w:hAnsiTheme="minorEastAsia" w:eastAsiaTheme="minorEastAsia" w:cstheme="minorEastAsia"/>
                <w:sz w:val="24"/>
                <w:szCs w:val="24"/>
              </w:rPr>
            </w:pPr>
          </w:p>
          <w:p w14:paraId="488D9C4C">
            <w:pPr>
              <w:pStyle w:val="2"/>
              <w:rPr>
                <w:rFonts w:hint="eastAsia" w:asciiTheme="minorEastAsia" w:hAnsiTheme="minorEastAsia" w:eastAsiaTheme="minorEastAsia" w:cstheme="minorEastAsia"/>
              </w:rPr>
            </w:pPr>
          </w:p>
          <w:p w14:paraId="47C421D0">
            <w:pPr>
              <w:pStyle w:val="2"/>
              <w:rPr>
                <w:rFonts w:hint="eastAsia" w:asciiTheme="minorEastAsia" w:hAnsiTheme="minorEastAsia" w:eastAsiaTheme="minorEastAsia" w:cstheme="minorEastAsia"/>
              </w:rPr>
            </w:pPr>
          </w:p>
          <w:p w14:paraId="31BFA9D7">
            <w:pPr>
              <w:pStyle w:val="2"/>
              <w:rPr>
                <w:rFonts w:hint="eastAsia" w:asciiTheme="minorEastAsia" w:hAnsiTheme="minorEastAsia" w:eastAsiaTheme="minorEastAsia" w:cstheme="minorEastAsia"/>
                <w:sz w:val="24"/>
                <w:szCs w:val="24"/>
              </w:rPr>
            </w:pPr>
          </w:p>
          <w:p w14:paraId="6B7C813A">
            <w:pPr>
              <w:pStyle w:val="2"/>
              <w:rPr>
                <w:rFonts w:hint="eastAsia" w:asciiTheme="minorEastAsia" w:hAnsiTheme="minorEastAsia" w:eastAsiaTheme="minorEastAsia" w:cstheme="minorEastAsia"/>
                <w:sz w:val="24"/>
                <w:szCs w:val="24"/>
              </w:rPr>
            </w:pPr>
          </w:p>
          <w:p w14:paraId="5EC81DD6">
            <w:pPr>
              <w:pStyle w:val="2"/>
              <w:rPr>
                <w:rFonts w:hint="eastAsia" w:asciiTheme="minorEastAsia" w:hAnsiTheme="minorEastAsia" w:eastAsiaTheme="minorEastAsia" w:cstheme="minorEastAsia"/>
                <w:sz w:val="24"/>
                <w:szCs w:val="24"/>
              </w:rPr>
            </w:pPr>
          </w:p>
          <w:p w14:paraId="2306F1E7">
            <w:pPr>
              <w:pStyle w:val="2"/>
              <w:rPr>
                <w:rFonts w:hint="eastAsia" w:asciiTheme="minorEastAsia" w:hAnsiTheme="minorEastAsia" w:eastAsiaTheme="minorEastAsia" w:cstheme="minorEastAsia"/>
                <w:sz w:val="24"/>
                <w:szCs w:val="24"/>
              </w:rPr>
            </w:pPr>
          </w:p>
          <w:p w14:paraId="169A94A7">
            <w:pPr>
              <w:pStyle w:val="2"/>
              <w:rPr>
                <w:rFonts w:hint="eastAsia" w:asciiTheme="minorEastAsia" w:hAnsiTheme="minorEastAsia" w:eastAsiaTheme="minorEastAsia" w:cstheme="minorEastAsia"/>
                <w:sz w:val="24"/>
                <w:szCs w:val="24"/>
              </w:rPr>
            </w:pPr>
          </w:p>
        </w:tc>
      </w:tr>
    </w:tbl>
    <w:p w14:paraId="731F84B7">
      <w:pPr>
        <w:rPr>
          <w:sz w:val="24"/>
          <w:szCs w:val="24"/>
        </w:rPr>
      </w:pPr>
    </w:p>
    <w:p w14:paraId="1500A4CE"/>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C91163"/>
    <w:multiLevelType w:val="multilevel"/>
    <w:tmpl w:val="1FC91163"/>
    <w:lvl w:ilvl="0" w:tentative="0">
      <w:start w:val="1"/>
      <w:numFmt w:val="decimal"/>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2"/>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3NWMwNzdmMWI1N2I5YmYyNDc5YmI0ODBhMjRmNGUifQ=="/>
  </w:docVars>
  <w:rsids>
    <w:rsidRoot w:val="5FE26949"/>
    <w:rsid w:val="000B6281"/>
    <w:rsid w:val="00D743B5"/>
    <w:rsid w:val="010D0794"/>
    <w:rsid w:val="0121315B"/>
    <w:rsid w:val="014A2DD9"/>
    <w:rsid w:val="022E26FA"/>
    <w:rsid w:val="0238746C"/>
    <w:rsid w:val="02AB3D4B"/>
    <w:rsid w:val="039D18E6"/>
    <w:rsid w:val="03D42E2E"/>
    <w:rsid w:val="04F86FAA"/>
    <w:rsid w:val="05EE17BE"/>
    <w:rsid w:val="069239F3"/>
    <w:rsid w:val="069C2D61"/>
    <w:rsid w:val="06C21663"/>
    <w:rsid w:val="06DA4A0D"/>
    <w:rsid w:val="07577FFE"/>
    <w:rsid w:val="0AF12517"/>
    <w:rsid w:val="0B397DDB"/>
    <w:rsid w:val="0D156DB1"/>
    <w:rsid w:val="0DAC2B12"/>
    <w:rsid w:val="0DC91529"/>
    <w:rsid w:val="0DF02F5A"/>
    <w:rsid w:val="0E4137B5"/>
    <w:rsid w:val="10E37EE7"/>
    <w:rsid w:val="10FD248B"/>
    <w:rsid w:val="110A60E1"/>
    <w:rsid w:val="11904838"/>
    <w:rsid w:val="1236241E"/>
    <w:rsid w:val="13023513"/>
    <w:rsid w:val="146B50E8"/>
    <w:rsid w:val="14942891"/>
    <w:rsid w:val="14E804E7"/>
    <w:rsid w:val="156F6E5A"/>
    <w:rsid w:val="15B00252"/>
    <w:rsid w:val="15BD752C"/>
    <w:rsid w:val="15C34AB0"/>
    <w:rsid w:val="167E0776"/>
    <w:rsid w:val="16DD2E09"/>
    <w:rsid w:val="17916296"/>
    <w:rsid w:val="17E72CD8"/>
    <w:rsid w:val="188A0ED1"/>
    <w:rsid w:val="18D555C0"/>
    <w:rsid w:val="18DF7E53"/>
    <w:rsid w:val="18E04EC0"/>
    <w:rsid w:val="19AA220F"/>
    <w:rsid w:val="1B7A20B5"/>
    <w:rsid w:val="1B886FD5"/>
    <w:rsid w:val="1BB2184F"/>
    <w:rsid w:val="1BDD7243"/>
    <w:rsid w:val="1C36422E"/>
    <w:rsid w:val="1C486871"/>
    <w:rsid w:val="1DE70A4F"/>
    <w:rsid w:val="1E403142"/>
    <w:rsid w:val="20BF0C96"/>
    <w:rsid w:val="21073140"/>
    <w:rsid w:val="2188552B"/>
    <w:rsid w:val="222039B6"/>
    <w:rsid w:val="228C2177"/>
    <w:rsid w:val="22E87612"/>
    <w:rsid w:val="25710085"/>
    <w:rsid w:val="25E1345C"/>
    <w:rsid w:val="26A81514"/>
    <w:rsid w:val="27BA3F65"/>
    <w:rsid w:val="296F284B"/>
    <w:rsid w:val="2A64465C"/>
    <w:rsid w:val="2A663F30"/>
    <w:rsid w:val="2A755355"/>
    <w:rsid w:val="2A824BD7"/>
    <w:rsid w:val="2A9A2380"/>
    <w:rsid w:val="2C424529"/>
    <w:rsid w:val="2CE90E48"/>
    <w:rsid w:val="2DEA131C"/>
    <w:rsid w:val="2EBA6F40"/>
    <w:rsid w:val="2F462582"/>
    <w:rsid w:val="2F603644"/>
    <w:rsid w:val="2F9824E4"/>
    <w:rsid w:val="2FC11C09"/>
    <w:rsid w:val="3034687E"/>
    <w:rsid w:val="305D5357"/>
    <w:rsid w:val="31046251"/>
    <w:rsid w:val="31714854"/>
    <w:rsid w:val="31A16195"/>
    <w:rsid w:val="31FB1FEC"/>
    <w:rsid w:val="31FB58A6"/>
    <w:rsid w:val="32A23F73"/>
    <w:rsid w:val="3321758E"/>
    <w:rsid w:val="337650FB"/>
    <w:rsid w:val="33A855B9"/>
    <w:rsid w:val="34076784"/>
    <w:rsid w:val="34126ED7"/>
    <w:rsid w:val="34142C4F"/>
    <w:rsid w:val="347926F3"/>
    <w:rsid w:val="352569C1"/>
    <w:rsid w:val="36105390"/>
    <w:rsid w:val="36315D3A"/>
    <w:rsid w:val="36745C27"/>
    <w:rsid w:val="36C46BAE"/>
    <w:rsid w:val="373A29CC"/>
    <w:rsid w:val="37557806"/>
    <w:rsid w:val="37D921E5"/>
    <w:rsid w:val="37F30DCD"/>
    <w:rsid w:val="38044D88"/>
    <w:rsid w:val="393D2C48"/>
    <w:rsid w:val="39901C43"/>
    <w:rsid w:val="3ABA2EFE"/>
    <w:rsid w:val="3AC56A51"/>
    <w:rsid w:val="3DE9644F"/>
    <w:rsid w:val="3DF112A9"/>
    <w:rsid w:val="3E052124"/>
    <w:rsid w:val="3F0A3976"/>
    <w:rsid w:val="40534AFF"/>
    <w:rsid w:val="41230975"/>
    <w:rsid w:val="423B133A"/>
    <w:rsid w:val="42524604"/>
    <w:rsid w:val="42A31D6D"/>
    <w:rsid w:val="42B850ED"/>
    <w:rsid w:val="42C146AA"/>
    <w:rsid w:val="42C45840"/>
    <w:rsid w:val="430622FC"/>
    <w:rsid w:val="433A371A"/>
    <w:rsid w:val="43DA0183"/>
    <w:rsid w:val="43FE6C6B"/>
    <w:rsid w:val="44330ECF"/>
    <w:rsid w:val="44576961"/>
    <w:rsid w:val="44807915"/>
    <w:rsid w:val="449C6A74"/>
    <w:rsid w:val="44DD0E3B"/>
    <w:rsid w:val="44F940B2"/>
    <w:rsid w:val="451B4D41"/>
    <w:rsid w:val="459037C4"/>
    <w:rsid w:val="45E57437"/>
    <w:rsid w:val="47867568"/>
    <w:rsid w:val="479C4FDD"/>
    <w:rsid w:val="484F02A2"/>
    <w:rsid w:val="491A435C"/>
    <w:rsid w:val="492E569F"/>
    <w:rsid w:val="49615217"/>
    <w:rsid w:val="49AF27D4"/>
    <w:rsid w:val="49F66C08"/>
    <w:rsid w:val="4A0D1D26"/>
    <w:rsid w:val="4B3E507F"/>
    <w:rsid w:val="4B977F95"/>
    <w:rsid w:val="4B9F509C"/>
    <w:rsid w:val="4BDC1B30"/>
    <w:rsid w:val="4C894CA8"/>
    <w:rsid w:val="4D64659D"/>
    <w:rsid w:val="4D6C390E"/>
    <w:rsid w:val="4DC932F8"/>
    <w:rsid w:val="4EE560A7"/>
    <w:rsid w:val="4F876C88"/>
    <w:rsid w:val="505C355C"/>
    <w:rsid w:val="51472E9D"/>
    <w:rsid w:val="5379560D"/>
    <w:rsid w:val="539A5E18"/>
    <w:rsid w:val="54866880"/>
    <w:rsid w:val="54FF095A"/>
    <w:rsid w:val="55256612"/>
    <w:rsid w:val="557B44E2"/>
    <w:rsid w:val="55D41DE6"/>
    <w:rsid w:val="58417C07"/>
    <w:rsid w:val="58676F42"/>
    <w:rsid w:val="58BA492E"/>
    <w:rsid w:val="58D676CD"/>
    <w:rsid w:val="5A44753A"/>
    <w:rsid w:val="5BB71F8E"/>
    <w:rsid w:val="5BE8024E"/>
    <w:rsid w:val="5C983B6D"/>
    <w:rsid w:val="5CDA4800"/>
    <w:rsid w:val="5D160A80"/>
    <w:rsid w:val="5D8E4A98"/>
    <w:rsid w:val="5DF30FB6"/>
    <w:rsid w:val="5F024367"/>
    <w:rsid w:val="5F3062DF"/>
    <w:rsid w:val="5FE26949"/>
    <w:rsid w:val="61B27DA3"/>
    <w:rsid w:val="62036F4C"/>
    <w:rsid w:val="62C17904"/>
    <w:rsid w:val="62D82F16"/>
    <w:rsid w:val="63731535"/>
    <w:rsid w:val="64151F48"/>
    <w:rsid w:val="64AF16BF"/>
    <w:rsid w:val="652C7549"/>
    <w:rsid w:val="65E53478"/>
    <w:rsid w:val="66B44E33"/>
    <w:rsid w:val="67753429"/>
    <w:rsid w:val="68711CDC"/>
    <w:rsid w:val="691B1DAE"/>
    <w:rsid w:val="6974326C"/>
    <w:rsid w:val="6A1D3904"/>
    <w:rsid w:val="6AA81420"/>
    <w:rsid w:val="6B52582F"/>
    <w:rsid w:val="6C525F73"/>
    <w:rsid w:val="6D0F5D7A"/>
    <w:rsid w:val="6F13166C"/>
    <w:rsid w:val="6FFC169B"/>
    <w:rsid w:val="71551BD5"/>
    <w:rsid w:val="716D1428"/>
    <w:rsid w:val="72697A2C"/>
    <w:rsid w:val="728C19F5"/>
    <w:rsid w:val="72B648F6"/>
    <w:rsid w:val="73155AC0"/>
    <w:rsid w:val="731E5D1E"/>
    <w:rsid w:val="7352092E"/>
    <w:rsid w:val="73C420DF"/>
    <w:rsid w:val="73E55492"/>
    <w:rsid w:val="740B4314"/>
    <w:rsid w:val="74644DBD"/>
    <w:rsid w:val="75434F4F"/>
    <w:rsid w:val="75C37A55"/>
    <w:rsid w:val="768218E4"/>
    <w:rsid w:val="789E3E62"/>
    <w:rsid w:val="78E3540C"/>
    <w:rsid w:val="7930461C"/>
    <w:rsid w:val="79EE2BC7"/>
    <w:rsid w:val="7A1B3F48"/>
    <w:rsid w:val="7AA86FCC"/>
    <w:rsid w:val="7BDB3CBF"/>
    <w:rsid w:val="7C6E089F"/>
    <w:rsid w:val="7CBC6FAC"/>
    <w:rsid w:val="7CC85951"/>
    <w:rsid w:val="7D2708CA"/>
    <w:rsid w:val="7DAA32A9"/>
    <w:rsid w:val="7E5D0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Body Text Indent"/>
    <w:basedOn w:val="1"/>
    <w:next w:val="3"/>
    <w:autoRedefine/>
    <w:qFormat/>
    <w:uiPriority w:val="0"/>
    <w:pPr>
      <w:spacing w:after="120"/>
      <w:ind w:left="420" w:leftChars="200"/>
    </w:pPr>
  </w:style>
  <w:style w:type="paragraph" w:styleId="3">
    <w:name w:val="envelope return"/>
    <w:basedOn w:val="1"/>
    <w:semiHidden/>
    <w:unhideWhenUsed/>
    <w:qFormat/>
    <w:uiPriority w:val="99"/>
    <w:pPr>
      <w:snapToGrid w:val="0"/>
    </w:pPr>
    <w:rPr>
      <w:rFonts w:asciiTheme="majorHAnsi" w:hAnsiTheme="majorHAnsi" w:eastAsiaTheme="majorEastAsia" w:cstheme="majorBidi"/>
    </w:rPr>
  </w:style>
  <w:style w:type="paragraph" w:styleId="4">
    <w:name w:val="Normal Indent"/>
    <w:basedOn w:val="1"/>
    <w:qFormat/>
    <w:uiPriority w:val="99"/>
    <w:pPr>
      <w:spacing w:before="163"/>
      <w:ind w:left="-142" w:leftChars="-59"/>
    </w:pPr>
    <w:rPr>
      <w:rFonts w:ascii="宋体" w:hAnsi="宋体"/>
    </w:r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autoRedefine/>
    <w:qFormat/>
    <w:uiPriority w:val="0"/>
    <w:rPr>
      <w:b/>
    </w:rPr>
  </w:style>
  <w:style w:type="paragraph" w:customStyle="1" w:styleId="10">
    <w:name w:val="段"/>
    <w:next w:val="1"/>
    <w:autoRedefine/>
    <w:qFormat/>
    <w:uiPriority w:val="0"/>
    <w:pPr>
      <w:autoSpaceDE w:val="0"/>
      <w:autoSpaceDN w:val="0"/>
      <w:ind w:firstLine="200"/>
      <w:jc w:val="both"/>
    </w:pPr>
    <w:rPr>
      <w:rFonts w:ascii="宋体" w:hAnsi="Times New Roman" w:eastAsia="宋体" w:cs="Times New Roman"/>
      <w:sz w:val="21"/>
      <w:lang w:val="en-US" w:eastAsia="zh-CN" w:bidi="ar-SA"/>
    </w:rPr>
  </w:style>
  <w:style w:type="paragraph" w:customStyle="1" w:styleId="11">
    <w:name w:val="BodyTextIndent"/>
    <w:basedOn w:val="1"/>
    <w:autoRedefine/>
    <w:qFormat/>
    <w:uiPriority w:val="0"/>
    <w:pPr>
      <w:widowControl w:val="0"/>
      <w:kinsoku/>
      <w:autoSpaceDE/>
      <w:autoSpaceDN/>
      <w:adjustRightInd/>
      <w:snapToGrid/>
      <w:spacing w:after="120"/>
      <w:ind w:left="420" w:leftChars="200"/>
      <w:jc w:val="both"/>
      <w:textAlignment w:val="auto"/>
    </w:pPr>
    <w:rPr>
      <w:rFonts w:ascii="Times New Roman" w:hAnsi="Times New Roman" w:eastAsia="宋体" w:cs="Times New Roman"/>
      <w:snapToGrid/>
      <w:color w:val="auto"/>
      <w:kern w:val="2"/>
      <w:sz w:val="13"/>
      <w:szCs w:val="24"/>
    </w:rPr>
  </w:style>
  <w:style w:type="paragraph" w:customStyle="1" w:styleId="12">
    <w:name w:val="一级条标题"/>
    <w:autoRedefine/>
    <w:qFormat/>
    <w:uiPriority w:val="0"/>
    <w:pPr>
      <w:numPr>
        <w:ilvl w:val="1"/>
        <w:numId w:val="1"/>
      </w:numPr>
      <w:spacing w:before="156" w:beforeLines="50" w:after="156" w:afterLines="50"/>
      <w:outlineLvl w:val="2"/>
    </w:pPr>
    <w:rPr>
      <w:rFonts w:ascii="黑体" w:hAnsi="Times New Roman" w:eastAsia="黑体" w:cs="Times New Roman"/>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5238</Words>
  <Characters>5470</Characters>
  <Lines>0</Lines>
  <Paragraphs>0</Paragraphs>
  <TotalTime>30</TotalTime>
  <ScaleCrop>false</ScaleCrop>
  <LinksUpToDate>false</LinksUpToDate>
  <CharactersWithSpaces>5651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2024-02-18T07:16:00Z</dcterms:created>
  <dc:creator>ggw</dc:creator>
  <cp:lastModifiedBy>微信用户</cp:lastModifiedBy>
  <cp:lastPrinted>2026-04-28T06:22:00Z</cp:lastPrinted>
  <dcterms:modified xsi:type="dcterms:W3CDTF">2026-10-13T06:11:42Z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93B62C8F9CF54E4191BBED4904982CC3_13</vt:lpwstr>
  </property>
  <property fmtid="{D5CDD505-2E9C-101B-9397-08002B2CF9AE}" pid="4" name="KSOTemplateDocerSaveRecord">
    <vt:lpwstr>eyJoZGlkIjoiYWViZGM1NDQzNjBhMTlkZmMxZjYwYTA3MjY4YWM1ZjYiLCJ1c2VySWQiOiIxMjkzMTk4NjgwIn0=</vt:lpwstr>
  </property>
</Properties>
</file>